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A287F" w14:textId="77777777" w:rsidR="00C54A90" w:rsidRDefault="00C54A90" w:rsidP="00C7610D">
      <w:pPr>
        <w:pStyle w:val="NoSpacing"/>
        <w:jc w:val="center"/>
        <w:rPr>
          <w:rFonts w:ascii="Verdana" w:hAnsi="Verdana" w:cs="Times New Roman"/>
          <w:b/>
          <w:bCs/>
          <w:sz w:val="28"/>
          <w:szCs w:val="28"/>
          <w:u w:val="single"/>
        </w:rPr>
      </w:pPr>
    </w:p>
    <w:p w14:paraId="4E837AF1" w14:textId="77777777" w:rsidR="00C54A90" w:rsidRDefault="00C54A90" w:rsidP="00C7610D">
      <w:pPr>
        <w:pStyle w:val="NoSpacing"/>
        <w:jc w:val="center"/>
        <w:rPr>
          <w:rFonts w:ascii="Verdana" w:hAnsi="Verdana" w:cs="Times New Roman"/>
          <w:b/>
          <w:bCs/>
          <w:sz w:val="28"/>
          <w:szCs w:val="28"/>
          <w:u w:val="single"/>
        </w:rPr>
      </w:pPr>
    </w:p>
    <w:p w14:paraId="7DCDC822" w14:textId="77777777" w:rsidR="00C54A90" w:rsidRDefault="00C54A90" w:rsidP="00C7610D">
      <w:pPr>
        <w:pStyle w:val="NoSpacing"/>
        <w:jc w:val="center"/>
        <w:rPr>
          <w:rFonts w:ascii="Verdana" w:hAnsi="Verdana" w:cs="Times New Roman"/>
          <w:b/>
          <w:bCs/>
          <w:sz w:val="28"/>
          <w:szCs w:val="28"/>
          <w:u w:val="single"/>
        </w:rPr>
      </w:pPr>
    </w:p>
    <w:p w14:paraId="56EB40B7" w14:textId="25104FB0" w:rsidR="00C7610D" w:rsidRDefault="00C7610D" w:rsidP="00C7610D">
      <w:pPr>
        <w:pStyle w:val="NoSpacing"/>
        <w:jc w:val="center"/>
        <w:rPr>
          <w:rFonts w:ascii="Verdana" w:hAnsi="Verdana" w:cs="Times New Roman"/>
          <w:b/>
          <w:bCs/>
          <w:sz w:val="28"/>
          <w:szCs w:val="28"/>
          <w:u w:val="single"/>
        </w:rPr>
      </w:pPr>
      <w:r>
        <w:rPr>
          <w:rFonts w:ascii="Verdana" w:hAnsi="Verdana" w:cs="Times New Roman"/>
          <w:b/>
          <w:bCs/>
          <w:sz w:val="28"/>
          <w:szCs w:val="28"/>
          <w:u w:val="single"/>
        </w:rPr>
        <w:t xml:space="preserve">ESTABLISHMENT OF TRADE INCUBATOR </w:t>
      </w:r>
    </w:p>
    <w:p w14:paraId="1A1E9D2D" w14:textId="77777777" w:rsidR="00C7610D" w:rsidRDefault="00C7610D" w:rsidP="00C7610D">
      <w:pPr>
        <w:pStyle w:val="NoSpacing"/>
        <w:jc w:val="both"/>
        <w:rPr>
          <w:rFonts w:ascii="Verdana" w:hAnsi="Verdana" w:cs="Times New Roman"/>
          <w:sz w:val="20"/>
          <w:szCs w:val="20"/>
        </w:rPr>
      </w:pPr>
    </w:p>
    <w:p w14:paraId="23808205" w14:textId="77777777" w:rsidR="00C7610D" w:rsidRDefault="00C7610D" w:rsidP="00C7610D">
      <w:pPr>
        <w:pStyle w:val="NoSpacing"/>
        <w:jc w:val="both"/>
        <w:rPr>
          <w:rFonts w:ascii="Verdana" w:hAnsi="Verdana" w:cs="Times New Roman"/>
        </w:rPr>
      </w:pPr>
      <w:r>
        <w:rPr>
          <w:rFonts w:ascii="Verdana" w:hAnsi="Verdana" w:cs="Times New Roman"/>
          <w:sz w:val="20"/>
          <w:szCs w:val="20"/>
        </w:rPr>
        <w:tab/>
      </w:r>
      <w:r>
        <w:rPr>
          <w:rFonts w:ascii="Verdana" w:hAnsi="Verdana" w:cs="Times New Roman"/>
        </w:rPr>
        <w:t xml:space="preserve">Bulgaria has one of the lowest costs of establishing business in Europe and is the cheapest in terms of labour wages too. The tariff for corporate and private investors is a flat 10%. Added to this is the fact that 0% applies in areas with a high prevalence of unemployment. The literacy rate is 98.4%, inflation has been hovering at hardly 2% and GDP growth has been documented at around 3.3% since the last couple of years. </w:t>
      </w:r>
    </w:p>
    <w:p w14:paraId="1408B5E9" w14:textId="77777777" w:rsidR="00C7610D" w:rsidRDefault="00C7610D" w:rsidP="00C7610D">
      <w:pPr>
        <w:pStyle w:val="NoSpacing"/>
        <w:jc w:val="both"/>
        <w:rPr>
          <w:rFonts w:ascii="Verdana" w:hAnsi="Verdana" w:cs="Times New Roman"/>
        </w:rPr>
      </w:pPr>
    </w:p>
    <w:p w14:paraId="2D37790C" w14:textId="77777777" w:rsidR="00C7610D" w:rsidRDefault="00C7610D" w:rsidP="00C7610D">
      <w:pPr>
        <w:pStyle w:val="NoSpacing"/>
        <w:jc w:val="both"/>
        <w:rPr>
          <w:rFonts w:ascii="Verdana" w:hAnsi="Verdana" w:cs="Times New Roman"/>
        </w:rPr>
      </w:pPr>
      <w:r>
        <w:rPr>
          <w:rFonts w:ascii="Verdana" w:hAnsi="Verdana" w:cs="Times New Roman"/>
        </w:rPr>
        <w:t>2.</w:t>
      </w:r>
      <w:r>
        <w:rPr>
          <w:rFonts w:ascii="Verdana" w:hAnsi="Verdana" w:cs="Times New Roman"/>
        </w:rPr>
        <w:tab/>
        <w:t>Per capita income at the GDP benchmark is US$ 8000, albeit, on the lower side in EU terms. Its global credit ratings are generally positive. The tourism sector is booming and in 2018, it had welcomed approximately nine million visitors.</w:t>
      </w:r>
    </w:p>
    <w:p w14:paraId="442B8D30" w14:textId="77777777" w:rsidR="00C7610D" w:rsidRDefault="00C7610D" w:rsidP="00C7610D">
      <w:pPr>
        <w:pStyle w:val="NoSpacing"/>
        <w:jc w:val="both"/>
        <w:rPr>
          <w:rFonts w:ascii="Verdana" w:hAnsi="Verdana" w:cs="Times New Roman"/>
        </w:rPr>
      </w:pPr>
    </w:p>
    <w:p w14:paraId="55D43D62" w14:textId="77777777" w:rsidR="00C7610D" w:rsidRDefault="00C7610D" w:rsidP="00C7610D">
      <w:pPr>
        <w:pStyle w:val="NoSpacing"/>
        <w:jc w:val="both"/>
        <w:rPr>
          <w:rFonts w:ascii="Verdana" w:hAnsi="Verdana" w:cs="Times New Roman"/>
        </w:rPr>
      </w:pPr>
      <w:r>
        <w:rPr>
          <w:rFonts w:ascii="Verdana" w:hAnsi="Verdana" w:cs="Times New Roman"/>
        </w:rPr>
        <w:t>3.</w:t>
      </w:r>
      <w:r>
        <w:rPr>
          <w:rFonts w:ascii="Verdana" w:hAnsi="Verdana" w:cs="Times New Roman"/>
        </w:rPr>
        <w:tab/>
        <w:t>What is also remarkable is the fact that it is one of the top outsourcing destinations within Europe for automobiles, with almost seven out of ten vehicles having some component manufactured in Bulgaria. Globally, it is rated within the top five in terms of outsourcing. It also possesses a burgeoning defence industry that in 2017 earned € 1 billion.</w:t>
      </w:r>
    </w:p>
    <w:p w14:paraId="4A43B55D" w14:textId="77777777" w:rsidR="00C7610D" w:rsidRDefault="00C7610D" w:rsidP="00C7610D">
      <w:pPr>
        <w:pStyle w:val="NoSpacing"/>
        <w:jc w:val="both"/>
        <w:rPr>
          <w:rFonts w:ascii="Verdana" w:hAnsi="Verdana" w:cs="Times New Roman"/>
        </w:rPr>
      </w:pPr>
    </w:p>
    <w:p w14:paraId="229185AE" w14:textId="77777777" w:rsidR="00C7610D" w:rsidRDefault="00C7610D" w:rsidP="00C7610D">
      <w:pPr>
        <w:pStyle w:val="NoSpacing"/>
        <w:jc w:val="both"/>
        <w:rPr>
          <w:rFonts w:ascii="Verdana" w:hAnsi="Verdana" w:cs="Times New Roman"/>
        </w:rPr>
      </w:pPr>
      <w:r>
        <w:rPr>
          <w:rFonts w:ascii="Verdana" w:hAnsi="Verdana" w:cs="Times New Roman"/>
        </w:rPr>
        <w:t>4.</w:t>
      </w:r>
      <w:r>
        <w:rPr>
          <w:rFonts w:ascii="Verdana" w:hAnsi="Verdana" w:cs="Times New Roman"/>
        </w:rPr>
        <w:tab/>
        <w:t>Bulgaria is a member of the EU. Although it is a country with a population of a mere 7 million, its geography entails that it can serve markets in the EU, Turkey, Middle East and even the Black Sea rim i.e. Russia and Ukraine. The aggregate market size that Bulgaria could plausibly access ranges between 200-450 million.</w:t>
      </w:r>
    </w:p>
    <w:p w14:paraId="43C23655" w14:textId="77777777" w:rsidR="00C7610D" w:rsidRDefault="00C7610D" w:rsidP="00C7610D">
      <w:pPr>
        <w:pStyle w:val="NoSpacing"/>
        <w:jc w:val="both"/>
        <w:rPr>
          <w:rFonts w:ascii="Verdana" w:hAnsi="Verdana" w:cs="Times New Roman"/>
        </w:rPr>
      </w:pPr>
    </w:p>
    <w:p w14:paraId="0CAB37B8" w14:textId="77777777" w:rsidR="00C7610D" w:rsidRDefault="00C7610D" w:rsidP="00C7610D">
      <w:pPr>
        <w:pStyle w:val="NoSpacing"/>
        <w:jc w:val="both"/>
        <w:rPr>
          <w:rFonts w:ascii="Verdana" w:hAnsi="Verdana" w:cs="Times New Roman"/>
        </w:rPr>
      </w:pPr>
      <w:r>
        <w:rPr>
          <w:rFonts w:ascii="Verdana" w:hAnsi="Verdana" w:cs="Times New Roman"/>
        </w:rPr>
        <w:t>5.</w:t>
      </w:r>
      <w:r>
        <w:rPr>
          <w:rFonts w:ascii="Verdana" w:hAnsi="Verdana" w:cs="Times New Roman"/>
        </w:rPr>
        <w:tab/>
        <w:t xml:space="preserve">The country seeks to attract investors for the information technology, food &amp; beverage, outsourcing, education and electronic sectors because these have been singled out as priority by policy makers. The country has been demarcated from the economic perspective into six distinct regions i.e. South-West, South-Central, South-East, North-West, North-Central and North-East. The South-West portion, that includes the capital Sofia, is the most affluent, whereas the North-West sector is the least materially endowed. </w:t>
      </w:r>
    </w:p>
    <w:p w14:paraId="1F854358" w14:textId="77777777" w:rsidR="00C7610D" w:rsidRDefault="00C7610D" w:rsidP="00C7610D">
      <w:pPr>
        <w:pStyle w:val="NoSpacing"/>
        <w:jc w:val="both"/>
        <w:rPr>
          <w:rFonts w:ascii="Verdana" w:hAnsi="Verdana" w:cs="Times New Roman"/>
          <w:u w:val="single"/>
        </w:rPr>
      </w:pPr>
    </w:p>
    <w:p w14:paraId="567554F8" w14:textId="77777777" w:rsidR="00C7610D" w:rsidRDefault="00C7610D" w:rsidP="00C7610D">
      <w:pPr>
        <w:pStyle w:val="NoSpacing"/>
        <w:jc w:val="both"/>
        <w:rPr>
          <w:rFonts w:ascii="Verdana" w:hAnsi="Verdana" w:cs="Times New Roman"/>
          <w:u w:val="single"/>
        </w:rPr>
      </w:pPr>
      <w:r>
        <w:rPr>
          <w:rFonts w:ascii="Verdana" w:hAnsi="Verdana" w:cs="Times New Roman"/>
          <w:u w:val="single"/>
        </w:rPr>
        <w:t>Mission’s Concept</w:t>
      </w:r>
    </w:p>
    <w:p w14:paraId="6E498B4D" w14:textId="77777777" w:rsidR="00C7610D" w:rsidRDefault="00C7610D" w:rsidP="00C7610D">
      <w:pPr>
        <w:pStyle w:val="NoSpacing"/>
        <w:jc w:val="both"/>
        <w:rPr>
          <w:rFonts w:ascii="Verdana" w:hAnsi="Verdana" w:cs="Times New Roman"/>
        </w:rPr>
      </w:pPr>
    </w:p>
    <w:p w14:paraId="167207AE" w14:textId="77777777" w:rsidR="00C7610D" w:rsidRDefault="00C7610D" w:rsidP="00C7610D">
      <w:pPr>
        <w:pStyle w:val="NoSpacing"/>
        <w:jc w:val="both"/>
        <w:rPr>
          <w:rFonts w:ascii="Verdana" w:hAnsi="Verdana" w:cs="Times New Roman"/>
        </w:rPr>
      </w:pPr>
      <w:r>
        <w:rPr>
          <w:rFonts w:ascii="Verdana" w:hAnsi="Verdana" w:cs="Times New Roman"/>
        </w:rPr>
        <w:t>6.</w:t>
      </w:r>
      <w:r>
        <w:rPr>
          <w:rFonts w:ascii="Verdana" w:hAnsi="Verdana" w:cs="Times New Roman"/>
        </w:rPr>
        <w:tab/>
        <w:t>In light of the above summation, the Pakistan Embassy in Sofia is sharing a scheme that outlines the creation of a hub to serve as a warehousing facility in Bulgaria. This warehouse or incubator would be ideal in sampling, marketing and distribution purposes for Pakistani exports to potential new markets within Europe. The incubator would be adequately placed to oversee the growth of Pakistani start-ups or early-stage firms.</w:t>
      </w:r>
    </w:p>
    <w:p w14:paraId="2F9D57AF" w14:textId="77777777" w:rsidR="00C7610D" w:rsidRDefault="00C7610D" w:rsidP="00C7610D">
      <w:pPr>
        <w:pStyle w:val="NoSpacing"/>
        <w:jc w:val="both"/>
        <w:rPr>
          <w:rFonts w:ascii="Verdana" w:hAnsi="Verdana" w:cs="Times New Roman"/>
        </w:rPr>
      </w:pPr>
    </w:p>
    <w:p w14:paraId="42399443" w14:textId="77777777" w:rsidR="00C7610D" w:rsidRDefault="00C7610D" w:rsidP="00C7610D">
      <w:pPr>
        <w:pStyle w:val="NoSpacing"/>
        <w:jc w:val="both"/>
        <w:rPr>
          <w:rFonts w:ascii="Verdana" w:hAnsi="Verdana" w:cs="Times New Roman"/>
        </w:rPr>
      </w:pPr>
      <w:r>
        <w:rPr>
          <w:rFonts w:ascii="Verdana" w:hAnsi="Verdana" w:cs="Times New Roman"/>
        </w:rPr>
        <w:t>7.</w:t>
      </w:r>
      <w:r>
        <w:rPr>
          <w:rFonts w:ascii="Verdana" w:hAnsi="Verdana" w:cs="Times New Roman"/>
        </w:rPr>
        <w:tab/>
        <w:t>To intensify penetration and enhance the outreach of our export goods, the warehousing centre (bonded or otherwise) would be ideal in reaching the eastern European region as well as new markets in Western Europe. Our ambivalence in the quest for emerging markets has resulted in stunted exports.</w:t>
      </w:r>
    </w:p>
    <w:p w14:paraId="35F9B751" w14:textId="77777777" w:rsidR="00C7610D" w:rsidRDefault="00C7610D" w:rsidP="00C7610D">
      <w:pPr>
        <w:pStyle w:val="NoSpacing"/>
        <w:jc w:val="both"/>
        <w:rPr>
          <w:rFonts w:ascii="Verdana" w:hAnsi="Verdana" w:cs="Times New Roman"/>
        </w:rPr>
      </w:pPr>
    </w:p>
    <w:p w14:paraId="47FA6442" w14:textId="77777777" w:rsidR="00C7610D" w:rsidRDefault="00C7610D" w:rsidP="00C7610D">
      <w:pPr>
        <w:pStyle w:val="NoSpacing"/>
        <w:jc w:val="both"/>
        <w:rPr>
          <w:rFonts w:ascii="Verdana" w:hAnsi="Verdana" w:cs="Times New Roman"/>
        </w:rPr>
      </w:pPr>
      <w:r>
        <w:rPr>
          <w:rFonts w:ascii="Verdana" w:hAnsi="Verdana" w:cs="Times New Roman"/>
        </w:rPr>
        <w:lastRenderedPageBreak/>
        <w:t>8.</w:t>
      </w:r>
      <w:r>
        <w:rPr>
          <w:rFonts w:ascii="Verdana" w:hAnsi="Verdana" w:cs="Times New Roman"/>
        </w:rPr>
        <w:tab/>
        <w:t xml:space="preserve">A broad outline of the factors that make instituting such a commercial hub in Bulgaria feasible are: </w:t>
      </w:r>
    </w:p>
    <w:p w14:paraId="6BE51CE7" w14:textId="77777777" w:rsidR="00C7610D" w:rsidRDefault="00C7610D" w:rsidP="00C7610D">
      <w:pPr>
        <w:pStyle w:val="NoSpacing"/>
        <w:jc w:val="both"/>
        <w:rPr>
          <w:rFonts w:ascii="Verdana" w:hAnsi="Verdana" w:cs="Times New Roman"/>
        </w:rPr>
      </w:pPr>
    </w:p>
    <w:p w14:paraId="4F92BD75" w14:textId="77777777" w:rsidR="00C7610D" w:rsidRDefault="00C7610D" w:rsidP="00C7610D">
      <w:pPr>
        <w:pStyle w:val="NoSpacing"/>
        <w:numPr>
          <w:ilvl w:val="0"/>
          <w:numId w:val="1"/>
        </w:numPr>
        <w:jc w:val="both"/>
        <w:rPr>
          <w:rFonts w:ascii="Verdana" w:hAnsi="Verdana" w:cs="Times New Roman"/>
          <w:i/>
          <w:iCs/>
        </w:rPr>
      </w:pPr>
      <w:r>
        <w:rPr>
          <w:rFonts w:ascii="Verdana" w:hAnsi="Verdana" w:cs="Times New Roman"/>
          <w:i/>
          <w:iCs/>
        </w:rPr>
        <w:t xml:space="preserve">Sofia is the nearest overland European capital to Pakistan. </w:t>
      </w:r>
    </w:p>
    <w:p w14:paraId="4B7B0EF0" w14:textId="77777777" w:rsidR="00C7610D" w:rsidRDefault="00C7610D" w:rsidP="00C7610D">
      <w:pPr>
        <w:pStyle w:val="NoSpacing"/>
        <w:numPr>
          <w:ilvl w:val="0"/>
          <w:numId w:val="1"/>
        </w:numPr>
        <w:jc w:val="both"/>
        <w:rPr>
          <w:rFonts w:ascii="Verdana" w:hAnsi="Verdana" w:cs="Times New Roman"/>
          <w:i/>
          <w:iCs/>
        </w:rPr>
      </w:pPr>
      <w:r>
        <w:rPr>
          <w:rFonts w:ascii="Verdana" w:hAnsi="Verdana" w:cs="Times New Roman"/>
          <w:i/>
          <w:iCs/>
        </w:rPr>
        <w:t xml:space="preserve">A warehousing facility would accelerate the ease for potential European buyers in visiting Bulgaria for the inspection of samples, negotiate terms and place orders. </w:t>
      </w:r>
    </w:p>
    <w:p w14:paraId="4AF8FA6F" w14:textId="77777777" w:rsidR="00C7610D" w:rsidRDefault="00C7610D" w:rsidP="00C7610D">
      <w:pPr>
        <w:pStyle w:val="NoSpacing"/>
        <w:numPr>
          <w:ilvl w:val="0"/>
          <w:numId w:val="1"/>
        </w:numPr>
        <w:jc w:val="both"/>
        <w:rPr>
          <w:rFonts w:ascii="Verdana" w:hAnsi="Verdana" w:cs="Times New Roman"/>
          <w:i/>
          <w:iCs/>
        </w:rPr>
      </w:pPr>
      <w:r>
        <w:rPr>
          <w:rFonts w:ascii="Verdana" w:hAnsi="Verdana" w:cs="Times New Roman"/>
          <w:i/>
          <w:iCs/>
        </w:rPr>
        <w:t xml:space="preserve">Bulgaria has established itself in the EU with one of the lowest rates of import tariffs, corporate tax and dividend tax. </w:t>
      </w:r>
    </w:p>
    <w:p w14:paraId="4CAC47B8" w14:textId="77777777" w:rsidR="00C7610D" w:rsidRDefault="00C7610D" w:rsidP="00C7610D">
      <w:pPr>
        <w:pStyle w:val="NoSpacing"/>
        <w:numPr>
          <w:ilvl w:val="0"/>
          <w:numId w:val="1"/>
        </w:numPr>
        <w:jc w:val="both"/>
        <w:rPr>
          <w:rFonts w:ascii="Verdana" w:hAnsi="Verdana" w:cs="Times New Roman"/>
          <w:i/>
          <w:iCs/>
        </w:rPr>
      </w:pPr>
      <w:r>
        <w:rPr>
          <w:rFonts w:ascii="Verdana" w:hAnsi="Verdana" w:cs="Times New Roman"/>
          <w:i/>
          <w:iCs/>
        </w:rPr>
        <w:t xml:space="preserve">The country prides itself on its highly educated and digitalized, young manpower available at the most competitive wages within Europe. </w:t>
      </w:r>
    </w:p>
    <w:p w14:paraId="08483E0E" w14:textId="77777777" w:rsidR="00C7610D" w:rsidRDefault="00C7610D" w:rsidP="00C7610D">
      <w:pPr>
        <w:pStyle w:val="NoSpacing"/>
        <w:numPr>
          <w:ilvl w:val="0"/>
          <w:numId w:val="1"/>
        </w:numPr>
        <w:jc w:val="both"/>
        <w:rPr>
          <w:rFonts w:ascii="Verdana" w:hAnsi="Verdana" w:cs="Times New Roman"/>
          <w:i/>
          <w:iCs/>
        </w:rPr>
      </w:pPr>
      <w:r>
        <w:rPr>
          <w:rFonts w:ascii="Verdana" w:hAnsi="Verdana" w:cs="Times New Roman"/>
          <w:i/>
          <w:iCs/>
        </w:rPr>
        <w:t>Bulgaria is endowed with low rates of utility charges, especially electricity charges. Power outages are very unusual. Almost one-third of the electricity grid is nuclear-generated.</w:t>
      </w:r>
    </w:p>
    <w:p w14:paraId="56815B41" w14:textId="77777777" w:rsidR="00C7610D" w:rsidRDefault="00C7610D" w:rsidP="00C7610D">
      <w:pPr>
        <w:pStyle w:val="NoSpacing"/>
        <w:numPr>
          <w:ilvl w:val="0"/>
          <w:numId w:val="1"/>
        </w:numPr>
        <w:jc w:val="both"/>
        <w:rPr>
          <w:rFonts w:ascii="Verdana" w:hAnsi="Verdana" w:cs="Times New Roman"/>
          <w:i/>
          <w:iCs/>
        </w:rPr>
      </w:pPr>
      <w:r>
        <w:rPr>
          <w:rFonts w:ascii="Verdana" w:hAnsi="Verdana" w:cs="Times New Roman"/>
          <w:i/>
          <w:iCs/>
        </w:rPr>
        <w:t>Warehousing facilities and office space in Bulgaria are available at lower than average costs when compared with other parts of Europe. The mean offer ranges between € 8-15.</w:t>
      </w:r>
    </w:p>
    <w:p w14:paraId="3B96A0FC" w14:textId="77777777" w:rsidR="00C7610D" w:rsidRDefault="00C7610D" w:rsidP="00C7610D">
      <w:pPr>
        <w:pStyle w:val="NoSpacing"/>
        <w:jc w:val="both"/>
        <w:rPr>
          <w:rFonts w:ascii="Verdana" w:hAnsi="Verdana" w:cs="Times New Roman"/>
        </w:rPr>
      </w:pPr>
    </w:p>
    <w:p w14:paraId="1CAAAB41" w14:textId="77777777" w:rsidR="00C7610D" w:rsidRDefault="00C7610D" w:rsidP="00C7610D">
      <w:pPr>
        <w:jc w:val="both"/>
        <w:rPr>
          <w:rFonts w:ascii="Verdana" w:hAnsi="Verdana"/>
        </w:rPr>
      </w:pPr>
      <w:r>
        <w:rPr>
          <w:rFonts w:ascii="Verdana" w:hAnsi="Verdana"/>
        </w:rPr>
        <w:t>9.</w:t>
      </w:r>
      <w:r>
        <w:rPr>
          <w:rFonts w:ascii="Verdana" w:hAnsi="Verdana"/>
        </w:rPr>
        <w:tab/>
        <w:t xml:space="preserve">The trade incubator will assume the simultaneous roles of a creator, coordinator and accelerator. It will (a) access potential traders through e-marketing; (b) facilitate and finalize transactions in Sofia by digitally connecting the two sides; (c) arrange requisite space for sampling and warehousing; and, (d) ensure logistical arrangements for the transportation of goods to destinations within the EU and beyond. Like all versatile projects, it will develop an interactive website. </w:t>
      </w:r>
    </w:p>
    <w:p w14:paraId="5A78AFEF" w14:textId="77777777" w:rsidR="00C7610D" w:rsidRDefault="00C7610D" w:rsidP="00C7610D">
      <w:pPr>
        <w:jc w:val="both"/>
        <w:rPr>
          <w:rFonts w:ascii="Verdana" w:hAnsi="Verdana"/>
        </w:rPr>
      </w:pPr>
      <w:r>
        <w:rPr>
          <w:rFonts w:ascii="Verdana" w:hAnsi="Verdana"/>
        </w:rPr>
        <w:t>10.</w:t>
      </w:r>
      <w:r>
        <w:rPr>
          <w:rFonts w:ascii="Verdana" w:hAnsi="Verdana"/>
        </w:rPr>
        <w:tab/>
        <w:t>Its e-experts will be responsible for: (1) searching and accessing new European buyers; (2) offering products and coordinating visits of European buyers to Sofia; (3) making a preliminary sales pitch by exhibiting samples and quoting prices; and (4) connecting the traders with Pakistani producers/entrepreneurs through video-conferencing on Skype and other social media. The staff will be incentivized on the strategies to be employed in securing deals between Pakistani exporters and European importers.</w:t>
      </w:r>
    </w:p>
    <w:p w14:paraId="63023D10" w14:textId="77777777" w:rsidR="00C7610D" w:rsidRDefault="00C7610D" w:rsidP="00C7610D">
      <w:pPr>
        <w:pStyle w:val="NoSpacing"/>
        <w:jc w:val="both"/>
        <w:rPr>
          <w:rFonts w:ascii="Verdana" w:hAnsi="Verdana" w:cs="Times New Roman"/>
        </w:rPr>
      </w:pPr>
      <w:r>
        <w:rPr>
          <w:rFonts w:ascii="Verdana" w:hAnsi="Verdana" w:cs="Times New Roman"/>
        </w:rPr>
        <w:t>11.</w:t>
      </w:r>
      <w:r>
        <w:rPr>
          <w:rFonts w:ascii="Verdana" w:hAnsi="Verdana" w:cs="Times New Roman"/>
        </w:rPr>
        <w:tab/>
        <w:t>Our commodities that hold a comparative advantage and have already proved their niche in larger EU markets are also saleable in similar markets of other EU and non-EU members. At the outset, products that enter this category are textiles, sports gear, leather, surgical and dental equipment, auto spare components, designer apparel, gems, jewellery &amp; accessories, software and web designing, kinnows &amp; mangoes, rice, spices, meat &amp; dairy preparations etc. Mango and kinnow promos have already been organized by this Embassy.</w:t>
      </w:r>
    </w:p>
    <w:p w14:paraId="67ED7576" w14:textId="77777777" w:rsidR="00C7610D" w:rsidRDefault="00C7610D" w:rsidP="00C7610D">
      <w:pPr>
        <w:pStyle w:val="NoSpacing"/>
        <w:jc w:val="both"/>
        <w:rPr>
          <w:rFonts w:ascii="Verdana" w:hAnsi="Verdana" w:cs="Times New Roman"/>
        </w:rPr>
      </w:pPr>
    </w:p>
    <w:p w14:paraId="1BC02A3A" w14:textId="77777777" w:rsidR="00C7610D" w:rsidRDefault="00C7610D" w:rsidP="00C7610D">
      <w:pPr>
        <w:jc w:val="both"/>
        <w:rPr>
          <w:rFonts w:ascii="Verdana" w:hAnsi="Verdana"/>
        </w:rPr>
      </w:pPr>
      <w:r>
        <w:rPr>
          <w:rFonts w:ascii="Verdana" w:hAnsi="Verdana"/>
        </w:rPr>
        <w:t>12.</w:t>
      </w:r>
      <w:r>
        <w:rPr>
          <w:rFonts w:ascii="Verdana" w:hAnsi="Verdana"/>
        </w:rPr>
        <w:tab/>
        <w:t>The trade incubator’s underlying inspiration would be to magnify the gains secured by GSP+ while diversifying into hitherto markets of the other twenty-one EU states that remain under-accessed and under-utilized. This would initiate with Southeast Europe (SEE) where Bulgaria is located. Resembling Pakistan’s economic paradigm where cottage industries/micro-enterprises assume a pivotal role, SMEs could construct supply lines in Europe by offering port-handling, warehousing and logistical services, through the auspices of Bulgarian ports on the Black Sea.</w:t>
      </w:r>
    </w:p>
    <w:p w14:paraId="0B4B1BAA" w14:textId="77777777" w:rsidR="00C54A90" w:rsidRDefault="00C54A90" w:rsidP="00C7610D">
      <w:pPr>
        <w:rPr>
          <w:rFonts w:ascii="Verdana" w:hAnsi="Verdana"/>
          <w:bCs/>
          <w:u w:val="single"/>
        </w:rPr>
      </w:pPr>
    </w:p>
    <w:p w14:paraId="2131518A" w14:textId="5A83BF34" w:rsidR="00C7610D" w:rsidRDefault="00C7610D" w:rsidP="00C7610D">
      <w:pPr>
        <w:rPr>
          <w:rFonts w:ascii="Verdana" w:hAnsi="Verdana" w:cs="Arial"/>
          <w:bCs/>
          <w:u w:val="single"/>
        </w:rPr>
      </w:pPr>
      <w:r>
        <w:rPr>
          <w:rFonts w:ascii="Verdana" w:hAnsi="Verdana"/>
          <w:bCs/>
          <w:u w:val="single"/>
        </w:rPr>
        <w:lastRenderedPageBreak/>
        <w:t>Estimated Recurring Costs</w:t>
      </w:r>
    </w:p>
    <w:p w14:paraId="7C11CC22" w14:textId="77777777" w:rsidR="00C7610D" w:rsidRDefault="00C7610D" w:rsidP="00C7610D">
      <w:pPr>
        <w:pStyle w:val="NoSpacing"/>
        <w:jc w:val="both"/>
        <w:rPr>
          <w:rFonts w:ascii="Verdana" w:hAnsi="Verdana" w:cs="Times New Roman"/>
        </w:rPr>
      </w:pPr>
      <w:r>
        <w:rPr>
          <w:rFonts w:ascii="Verdana" w:hAnsi="Verdana" w:cs="Times New Roman"/>
          <w:bCs/>
          <w:lang w:eastAsia="bg-BG"/>
        </w:rPr>
        <w:t>13</w:t>
      </w:r>
      <w:r>
        <w:rPr>
          <w:rFonts w:ascii="Verdana" w:hAnsi="Verdana" w:cs="Times New Roman"/>
        </w:rPr>
        <w:t>.</w:t>
      </w:r>
      <w:r>
        <w:rPr>
          <w:rFonts w:ascii="Verdana" w:hAnsi="Verdana" w:cs="Times New Roman"/>
        </w:rPr>
        <w:tab/>
        <w:t xml:space="preserve">Keeping in purview the above aspects, several options and sites are available for adequate premises to assume the role of a warehouse or incubator. Moreover, the financial component for bringing this project to fruition has been worked out in terms of daily operations, rent, staffing, logistics and overheads. </w:t>
      </w:r>
    </w:p>
    <w:p w14:paraId="51D12C9C" w14:textId="77777777" w:rsidR="00C7610D" w:rsidRDefault="00C7610D" w:rsidP="00C7610D">
      <w:pPr>
        <w:pStyle w:val="NoSpacing"/>
        <w:jc w:val="both"/>
        <w:rPr>
          <w:rFonts w:ascii="Verdana" w:hAnsi="Verdana" w:cs="Times New Roman"/>
        </w:rPr>
      </w:pPr>
    </w:p>
    <w:tbl>
      <w:tblPr>
        <w:tblStyle w:val="TableGrid"/>
        <w:tblW w:w="9096" w:type="dxa"/>
        <w:tblInd w:w="-5" w:type="dxa"/>
        <w:tblLook w:val="04A0" w:firstRow="1" w:lastRow="0" w:firstColumn="1" w:lastColumn="0" w:noHBand="0" w:noVBand="1"/>
      </w:tblPr>
      <w:tblGrid>
        <w:gridCol w:w="4500"/>
        <w:gridCol w:w="2166"/>
        <w:gridCol w:w="2430"/>
      </w:tblGrid>
      <w:tr w:rsidR="00C7610D" w14:paraId="05B87BB8" w14:textId="77777777" w:rsidTr="00C7610D">
        <w:tc>
          <w:tcPr>
            <w:tcW w:w="4500" w:type="dxa"/>
            <w:tcBorders>
              <w:top w:val="single" w:sz="4" w:space="0" w:color="auto"/>
              <w:left w:val="single" w:sz="4" w:space="0" w:color="auto"/>
              <w:bottom w:val="single" w:sz="4" w:space="0" w:color="auto"/>
              <w:right w:val="single" w:sz="4" w:space="0" w:color="auto"/>
            </w:tcBorders>
            <w:hideMark/>
          </w:tcPr>
          <w:p w14:paraId="60A94B0A" w14:textId="77777777" w:rsidR="00C7610D" w:rsidRDefault="00C7610D">
            <w:pPr>
              <w:pStyle w:val="yiv1859543581"/>
              <w:spacing w:before="40" w:beforeAutospacing="0" w:after="40" w:afterAutospacing="0"/>
              <w:jc w:val="center"/>
              <w:rPr>
                <w:rFonts w:ascii="Verdana" w:hAnsi="Verdana"/>
                <w:b/>
                <w:bCs/>
                <w:sz w:val="22"/>
                <w:szCs w:val="22"/>
              </w:rPr>
            </w:pPr>
            <w:r>
              <w:rPr>
                <w:rFonts w:ascii="Verdana" w:hAnsi="Verdana"/>
                <w:b/>
                <w:bCs/>
                <w:sz w:val="22"/>
                <w:szCs w:val="22"/>
              </w:rPr>
              <w:t>HEAD OF EXPENDITURE</w:t>
            </w:r>
          </w:p>
        </w:tc>
        <w:tc>
          <w:tcPr>
            <w:tcW w:w="2166" w:type="dxa"/>
            <w:tcBorders>
              <w:top w:val="single" w:sz="4" w:space="0" w:color="auto"/>
              <w:left w:val="single" w:sz="4" w:space="0" w:color="auto"/>
              <w:bottom w:val="single" w:sz="4" w:space="0" w:color="auto"/>
              <w:right w:val="single" w:sz="4" w:space="0" w:color="auto"/>
            </w:tcBorders>
            <w:hideMark/>
          </w:tcPr>
          <w:p w14:paraId="59B0ADD3" w14:textId="77777777" w:rsidR="00C7610D" w:rsidRDefault="00C7610D">
            <w:pPr>
              <w:pStyle w:val="yiv1859543581"/>
              <w:spacing w:before="40" w:beforeAutospacing="0" w:after="40" w:afterAutospacing="0"/>
              <w:jc w:val="center"/>
              <w:rPr>
                <w:rFonts w:ascii="Verdana" w:hAnsi="Verdana"/>
                <w:b/>
                <w:bCs/>
                <w:sz w:val="22"/>
                <w:szCs w:val="22"/>
              </w:rPr>
            </w:pPr>
            <w:r>
              <w:rPr>
                <w:rFonts w:ascii="Verdana" w:hAnsi="Verdana"/>
                <w:b/>
                <w:bCs/>
                <w:sz w:val="22"/>
                <w:szCs w:val="22"/>
              </w:rPr>
              <w:t>MONTHLY</w:t>
            </w:r>
          </w:p>
        </w:tc>
        <w:tc>
          <w:tcPr>
            <w:tcW w:w="2430" w:type="dxa"/>
            <w:tcBorders>
              <w:top w:val="single" w:sz="4" w:space="0" w:color="auto"/>
              <w:left w:val="single" w:sz="4" w:space="0" w:color="auto"/>
              <w:bottom w:val="single" w:sz="4" w:space="0" w:color="auto"/>
              <w:right w:val="single" w:sz="4" w:space="0" w:color="auto"/>
            </w:tcBorders>
            <w:hideMark/>
          </w:tcPr>
          <w:p w14:paraId="6A0966C5" w14:textId="77777777" w:rsidR="00C7610D" w:rsidRDefault="00C7610D">
            <w:pPr>
              <w:pStyle w:val="yiv1859543581"/>
              <w:spacing w:before="40" w:beforeAutospacing="0" w:after="40" w:afterAutospacing="0"/>
              <w:jc w:val="center"/>
              <w:rPr>
                <w:rFonts w:ascii="Verdana" w:hAnsi="Verdana"/>
                <w:b/>
                <w:bCs/>
                <w:sz w:val="22"/>
                <w:szCs w:val="22"/>
              </w:rPr>
            </w:pPr>
            <w:r>
              <w:rPr>
                <w:rFonts w:ascii="Verdana" w:hAnsi="Verdana"/>
                <w:b/>
                <w:bCs/>
                <w:sz w:val="22"/>
                <w:szCs w:val="22"/>
              </w:rPr>
              <w:t>ANNUAL</w:t>
            </w:r>
          </w:p>
        </w:tc>
      </w:tr>
      <w:tr w:rsidR="00C7610D" w14:paraId="12EB2829" w14:textId="77777777" w:rsidTr="00C7610D">
        <w:tc>
          <w:tcPr>
            <w:tcW w:w="4500" w:type="dxa"/>
            <w:tcBorders>
              <w:top w:val="single" w:sz="4" w:space="0" w:color="auto"/>
              <w:left w:val="single" w:sz="4" w:space="0" w:color="auto"/>
              <w:bottom w:val="single" w:sz="4" w:space="0" w:color="auto"/>
              <w:right w:val="single" w:sz="4" w:space="0" w:color="auto"/>
            </w:tcBorders>
            <w:hideMark/>
          </w:tcPr>
          <w:p w14:paraId="116F07C1" w14:textId="77777777" w:rsidR="00C7610D" w:rsidRDefault="00C7610D">
            <w:pPr>
              <w:pStyle w:val="yiv1859543581"/>
              <w:spacing w:before="40" w:beforeAutospacing="0" w:after="40" w:afterAutospacing="0"/>
              <w:jc w:val="center"/>
              <w:rPr>
                <w:rFonts w:ascii="Verdana" w:hAnsi="Verdana"/>
                <w:b/>
                <w:i/>
                <w:sz w:val="22"/>
                <w:szCs w:val="22"/>
              </w:rPr>
            </w:pPr>
            <w:r>
              <w:rPr>
                <w:rFonts w:ascii="Verdana" w:hAnsi="Verdana"/>
                <w:b/>
                <w:i/>
                <w:sz w:val="22"/>
                <w:szCs w:val="22"/>
              </w:rPr>
              <w:t>Employees</w:t>
            </w:r>
          </w:p>
        </w:tc>
        <w:tc>
          <w:tcPr>
            <w:tcW w:w="2166" w:type="dxa"/>
            <w:tcBorders>
              <w:top w:val="single" w:sz="4" w:space="0" w:color="auto"/>
              <w:left w:val="single" w:sz="4" w:space="0" w:color="auto"/>
              <w:bottom w:val="single" w:sz="4" w:space="0" w:color="auto"/>
              <w:right w:val="single" w:sz="4" w:space="0" w:color="auto"/>
            </w:tcBorders>
          </w:tcPr>
          <w:p w14:paraId="6B893CA5" w14:textId="77777777" w:rsidR="00C7610D" w:rsidRDefault="00C7610D">
            <w:pPr>
              <w:pStyle w:val="yiv1859543581"/>
              <w:spacing w:before="40" w:beforeAutospacing="0" w:after="40" w:afterAutospacing="0"/>
              <w:jc w:val="center"/>
              <w:rPr>
                <w:rFonts w:ascii="Verdana" w:hAnsi="Verdana"/>
                <w:sz w:val="22"/>
                <w:szCs w:val="22"/>
              </w:rPr>
            </w:pPr>
          </w:p>
        </w:tc>
        <w:tc>
          <w:tcPr>
            <w:tcW w:w="2430" w:type="dxa"/>
            <w:tcBorders>
              <w:top w:val="single" w:sz="4" w:space="0" w:color="auto"/>
              <w:left w:val="single" w:sz="4" w:space="0" w:color="auto"/>
              <w:bottom w:val="single" w:sz="4" w:space="0" w:color="auto"/>
              <w:right w:val="single" w:sz="4" w:space="0" w:color="auto"/>
            </w:tcBorders>
          </w:tcPr>
          <w:p w14:paraId="0AE8755D" w14:textId="77777777" w:rsidR="00C7610D" w:rsidRDefault="00C7610D">
            <w:pPr>
              <w:pStyle w:val="yiv1859543581"/>
              <w:spacing w:before="40" w:beforeAutospacing="0" w:after="40" w:afterAutospacing="0"/>
              <w:jc w:val="center"/>
              <w:rPr>
                <w:rFonts w:ascii="Verdana" w:hAnsi="Verdana"/>
                <w:sz w:val="22"/>
                <w:szCs w:val="22"/>
              </w:rPr>
            </w:pPr>
          </w:p>
        </w:tc>
      </w:tr>
      <w:tr w:rsidR="00C7610D" w14:paraId="786F9D95" w14:textId="77777777" w:rsidTr="00C7610D">
        <w:tc>
          <w:tcPr>
            <w:tcW w:w="4500" w:type="dxa"/>
            <w:tcBorders>
              <w:top w:val="single" w:sz="4" w:space="0" w:color="auto"/>
              <w:left w:val="single" w:sz="4" w:space="0" w:color="auto"/>
              <w:bottom w:val="single" w:sz="4" w:space="0" w:color="auto"/>
              <w:right w:val="single" w:sz="4" w:space="0" w:color="auto"/>
            </w:tcBorders>
            <w:hideMark/>
          </w:tcPr>
          <w:p w14:paraId="62706949" w14:textId="77777777" w:rsidR="00C7610D" w:rsidRDefault="00C7610D">
            <w:pPr>
              <w:pStyle w:val="yiv1859543581"/>
              <w:spacing w:before="40" w:beforeAutospacing="0" w:after="40" w:afterAutospacing="0"/>
              <w:jc w:val="center"/>
              <w:rPr>
                <w:rFonts w:ascii="Verdana" w:hAnsi="Verdana"/>
                <w:i/>
                <w:sz w:val="22"/>
                <w:szCs w:val="22"/>
              </w:rPr>
            </w:pPr>
            <w:r>
              <w:rPr>
                <w:rFonts w:ascii="Verdana" w:hAnsi="Verdana"/>
                <w:i/>
                <w:sz w:val="22"/>
                <w:szCs w:val="22"/>
              </w:rPr>
              <w:t>Remuneration for 10 individuals</w:t>
            </w:r>
          </w:p>
        </w:tc>
        <w:tc>
          <w:tcPr>
            <w:tcW w:w="2166" w:type="dxa"/>
            <w:tcBorders>
              <w:top w:val="single" w:sz="4" w:space="0" w:color="auto"/>
              <w:left w:val="single" w:sz="4" w:space="0" w:color="auto"/>
              <w:bottom w:val="single" w:sz="4" w:space="0" w:color="auto"/>
              <w:right w:val="single" w:sz="4" w:space="0" w:color="auto"/>
            </w:tcBorders>
            <w:hideMark/>
          </w:tcPr>
          <w:p w14:paraId="0D83FECC"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BGN 10,300/-</w:t>
            </w:r>
          </w:p>
        </w:tc>
        <w:tc>
          <w:tcPr>
            <w:tcW w:w="2430" w:type="dxa"/>
            <w:tcBorders>
              <w:top w:val="single" w:sz="4" w:space="0" w:color="auto"/>
              <w:left w:val="single" w:sz="4" w:space="0" w:color="auto"/>
              <w:bottom w:val="single" w:sz="4" w:space="0" w:color="auto"/>
              <w:right w:val="single" w:sz="4" w:space="0" w:color="auto"/>
            </w:tcBorders>
            <w:hideMark/>
          </w:tcPr>
          <w:p w14:paraId="1BD29375"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BGN 123,600/-</w:t>
            </w:r>
            <w:r>
              <w:rPr>
                <w:rFonts w:ascii="Verdana" w:hAnsi="Verdana"/>
                <w:sz w:val="22"/>
                <w:szCs w:val="22"/>
              </w:rPr>
              <w:br/>
              <w:t xml:space="preserve"> US$ 69,830/-</w:t>
            </w:r>
          </w:p>
        </w:tc>
      </w:tr>
      <w:tr w:rsidR="00C7610D" w14:paraId="423E7BB3" w14:textId="77777777" w:rsidTr="00C7610D">
        <w:tc>
          <w:tcPr>
            <w:tcW w:w="4500" w:type="dxa"/>
            <w:tcBorders>
              <w:top w:val="single" w:sz="4" w:space="0" w:color="auto"/>
              <w:left w:val="single" w:sz="4" w:space="0" w:color="auto"/>
              <w:bottom w:val="single" w:sz="4" w:space="0" w:color="auto"/>
              <w:right w:val="single" w:sz="4" w:space="0" w:color="auto"/>
            </w:tcBorders>
            <w:hideMark/>
          </w:tcPr>
          <w:p w14:paraId="6CFD522A"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Overtime Allowance</w:t>
            </w:r>
          </w:p>
        </w:tc>
        <w:tc>
          <w:tcPr>
            <w:tcW w:w="2166" w:type="dxa"/>
            <w:tcBorders>
              <w:top w:val="single" w:sz="4" w:space="0" w:color="auto"/>
              <w:left w:val="single" w:sz="4" w:space="0" w:color="auto"/>
              <w:bottom w:val="single" w:sz="4" w:space="0" w:color="auto"/>
              <w:right w:val="single" w:sz="4" w:space="0" w:color="auto"/>
            </w:tcBorders>
            <w:hideMark/>
          </w:tcPr>
          <w:p w14:paraId="4D460AF8"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BGN 1,500/-</w:t>
            </w:r>
          </w:p>
        </w:tc>
        <w:tc>
          <w:tcPr>
            <w:tcW w:w="2430" w:type="dxa"/>
            <w:tcBorders>
              <w:top w:val="single" w:sz="4" w:space="0" w:color="auto"/>
              <w:left w:val="single" w:sz="4" w:space="0" w:color="auto"/>
              <w:bottom w:val="single" w:sz="4" w:space="0" w:color="auto"/>
              <w:right w:val="single" w:sz="4" w:space="0" w:color="auto"/>
            </w:tcBorders>
            <w:hideMark/>
          </w:tcPr>
          <w:p w14:paraId="131FB3B9"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BGN 18,000/-</w:t>
            </w:r>
          </w:p>
        </w:tc>
      </w:tr>
      <w:tr w:rsidR="00C7610D" w14:paraId="50762E0D" w14:textId="77777777" w:rsidTr="00C7610D">
        <w:tc>
          <w:tcPr>
            <w:tcW w:w="4500" w:type="dxa"/>
            <w:tcBorders>
              <w:top w:val="single" w:sz="4" w:space="0" w:color="auto"/>
              <w:left w:val="single" w:sz="4" w:space="0" w:color="auto"/>
              <w:bottom w:val="single" w:sz="4" w:space="0" w:color="auto"/>
              <w:right w:val="single" w:sz="4" w:space="0" w:color="auto"/>
            </w:tcBorders>
            <w:hideMark/>
          </w:tcPr>
          <w:p w14:paraId="721C6468" w14:textId="77777777" w:rsidR="00C7610D" w:rsidRDefault="00C7610D">
            <w:pPr>
              <w:pStyle w:val="yiv1859543581"/>
              <w:spacing w:before="40" w:beforeAutospacing="0" w:after="40" w:afterAutospacing="0"/>
              <w:jc w:val="center"/>
              <w:rPr>
                <w:rFonts w:ascii="Verdana" w:hAnsi="Verdana"/>
                <w:b/>
                <w:i/>
                <w:sz w:val="22"/>
                <w:szCs w:val="22"/>
              </w:rPr>
            </w:pPr>
            <w:r>
              <w:rPr>
                <w:rFonts w:ascii="Verdana" w:hAnsi="Verdana"/>
                <w:b/>
                <w:i/>
                <w:sz w:val="22"/>
                <w:szCs w:val="22"/>
              </w:rPr>
              <w:t>Communication</w:t>
            </w:r>
          </w:p>
        </w:tc>
        <w:tc>
          <w:tcPr>
            <w:tcW w:w="2166" w:type="dxa"/>
            <w:tcBorders>
              <w:top w:val="single" w:sz="4" w:space="0" w:color="auto"/>
              <w:left w:val="single" w:sz="4" w:space="0" w:color="auto"/>
              <w:bottom w:val="single" w:sz="4" w:space="0" w:color="auto"/>
              <w:right w:val="single" w:sz="4" w:space="0" w:color="auto"/>
            </w:tcBorders>
          </w:tcPr>
          <w:p w14:paraId="4644D694" w14:textId="77777777" w:rsidR="00C7610D" w:rsidRDefault="00C7610D">
            <w:pPr>
              <w:pStyle w:val="yiv1859543581"/>
              <w:spacing w:before="40" w:beforeAutospacing="0" w:after="40" w:afterAutospacing="0"/>
              <w:jc w:val="center"/>
              <w:rPr>
                <w:rFonts w:ascii="Verdana" w:hAnsi="Verdana"/>
                <w:sz w:val="22"/>
                <w:szCs w:val="22"/>
              </w:rPr>
            </w:pPr>
          </w:p>
        </w:tc>
        <w:tc>
          <w:tcPr>
            <w:tcW w:w="2430" w:type="dxa"/>
            <w:tcBorders>
              <w:top w:val="single" w:sz="4" w:space="0" w:color="auto"/>
              <w:left w:val="single" w:sz="4" w:space="0" w:color="auto"/>
              <w:bottom w:val="single" w:sz="4" w:space="0" w:color="auto"/>
              <w:right w:val="single" w:sz="4" w:space="0" w:color="auto"/>
            </w:tcBorders>
          </w:tcPr>
          <w:p w14:paraId="59E8BBB6" w14:textId="77777777" w:rsidR="00C7610D" w:rsidRDefault="00C7610D">
            <w:pPr>
              <w:pStyle w:val="yiv1859543581"/>
              <w:spacing w:before="40" w:beforeAutospacing="0" w:after="40" w:afterAutospacing="0"/>
              <w:jc w:val="center"/>
              <w:rPr>
                <w:rFonts w:ascii="Verdana" w:hAnsi="Verdana"/>
                <w:sz w:val="22"/>
                <w:szCs w:val="22"/>
              </w:rPr>
            </w:pPr>
          </w:p>
        </w:tc>
      </w:tr>
      <w:tr w:rsidR="00C7610D" w14:paraId="609839D9" w14:textId="77777777" w:rsidTr="00C7610D">
        <w:tc>
          <w:tcPr>
            <w:tcW w:w="4500" w:type="dxa"/>
            <w:tcBorders>
              <w:top w:val="single" w:sz="4" w:space="0" w:color="auto"/>
              <w:left w:val="single" w:sz="4" w:space="0" w:color="auto"/>
              <w:bottom w:val="single" w:sz="4" w:space="0" w:color="auto"/>
              <w:right w:val="single" w:sz="4" w:space="0" w:color="auto"/>
            </w:tcBorders>
            <w:hideMark/>
          </w:tcPr>
          <w:p w14:paraId="60D18901"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Courier/Pilot Ser./Postage</w:t>
            </w:r>
          </w:p>
        </w:tc>
        <w:tc>
          <w:tcPr>
            <w:tcW w:w="2166" w:type="dxa"/>
            <w:tcBorders>
              <w:top w:val="single" w:sz="4" w:space="0" w:color="auto"/>
              <w:left w:val="single" w:sz="4" w:space="0" w:color="auto"/>
              <w:bottom w:val="single" w:sz="4" w:space="0" w:color="auto"/>
              <w:right w:val="single" w:sz="4" w:space="0" w:color="auto"/>
            </w:tcBorders>
            <w:hideMark/>
          </w:tcPr>
          <w:p w14:paraId="6181D4DC"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BGN 1,500/-</w:t>
            </w:r>
          </w:p>
        </w:tc>
        <w:tc>
          <w:tcPr>
            <w:tcW w:w="2430" w:type="dxa"/>
            <w:tcBorders>
              <w:top w:val="single" w:sz="4" w:space="0" w:color="auto"/>
              <w:left w:val="single" w:sz="4" w:space="0" w:color="auto"/>
              <w:bottom w:val="single" w:sz="4" w:space="0" w:color="auto"/>
              <w:right w:val="single" w:sz="4" w:space="0" w:color="auto"/>
            </w:tcBorders>
            <w:hideMark/>
          </w:tcPr>
          <w:p w14:paraId="4CCFF288"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BGN 18,000/-</w:t>
            </w:r>
          </w:p>
        </w:tc>
      </w:tr>
      <w:tr w:rsidR="00C7610D" w14:paraId="01AE6AAF" w14:textId="77777777" w:rsidTr="00C7610D">
        <w:tc>
          <w:tcPr>
            <w:tcW w:w="4500" w:type="dxa"/>
            <w:tcBorders>
              <w:top w:val="single" w:sz="4" w:space="0" w:color="auto"/>
              <w:left w:val="single" w:sz="4" w:space="0" w:color="auto"/>
              <w:bottom w:val="single" w:sz="4" w:space="0" w:color="auto"/>
              <w:right w:val="single" w:sz="4" w:space="0" w:color="auto"/>
            </w:tcBorders>
            <w:hideMark/>
          </w:tcPr>
          <w:p w14:paraId="4AF02FFE"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Landline/GSM</w:t>
            </w:r>
          </w:p>
        </w:tc>
        <w:tc>
          <w:tcPr>
            <w:tcW w:w="2166" w:type="dxa"/>
            <w:tcBorders>
              <w:top w:val="single" w:sz="4" w:space="0" w:color="auto"/>
              <w:left w:val="single" w:sz="4" w:space="0" w:color="auto"/>
              <w:bottom w:val="single" w:sz="4" w:space="0" w:color="auto"/>
              <w:right w:val="single" w:sz="4" w:space="0" w:color="auto"/>
            </w:tcBorders>
            <w:hideMark/>
          </w:tcPr>
          <w:p w14:paraId="7B6E0E45"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BGN 2000/-</w:t>
            </w:r>
          </w:p>
        </w:tc>
        <w:tc>
          <w:tcPr>
            <w:tcW w:w="2430" w:type="dxa"/>
            <w:tcBorders>
              <w:top w:val="single" w:sz="4" w:space="0" w:color="auto"/>
              <w:left w:val="single" w:sz="4" w:space="0" w:color="auto"/>
              <w:bottom w:val="single" w:sz="4" w:space="0" w:color="auto"/>
              <w:right w:val="single" w:sz="4" w:space="0" w:color="auto"/>
            </w:tcBorders>
            <w:hideMark/>
          </w:tcPr>
          <w:p w14:paraId="48265597"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BGN 24,000/-</w:t>
            </w:r>
          </w:p>
        </w:tc>
      </w:tr>
      <w:tr w:rsidR="00C7610D" w14:paraId="56EC8330" w14:textId="77777777" w:rsidTr="00C7610D">
        <w:tc>
          <w:tcPr>
            <w:tcW w:w="4500" w:type="dxa"/>
            <w:tcBorders>
              <w:top w:val="single" w:sz="4" w:space="0" w:color="auto"/>
              <w:left w:val="single" w:sz="4" w:space="0" w:color="auto"/>
              <w:bottom w:val="single" w:sz="4" w:space="0" w:color="auto"/>
              <w:right w:val="single" w:sz="4" w:space="0" w:color="auto"/>
            </w:tcBorders>
            <w:hideMark/>
          </w:tcPr>
          <w:p w14:paraId="1B3F7379" w14:textId="77777777" w:rsidR="00C7610D" w:rsidRDefault="00C7610D">
            <w:pPr>
              <w:pStyle w:val="yiv1859543581"/>
              <w:spacing w:before="40" w:beforeAutospacing="0" w:after="40" w:afterAutospacing="0"/>
              <w:jc w:val="center"/>
              <w:rPr>
                <w:rFonts w:ascii="Verdana" w:hAnsi="Verdana"/>
                <w:b/>
                <w:i/>
                <w:sz w:val="22"/>
                <w:szCs w:val="22"/>
              </w:rPr>
            </w:pPr>
            <w:r>
              <w:rPr>
                <w:rFonts w:ascii="Verdana" w:hAnsi="Verdana"/>
                <w:b/>
                <w:i/>
                <w:sz w:val="22"/>
                <w:szCs w:val="22"/>
              </w:rPr>
              <w:t>Utilities</w:t>
            </w:r>
          </w:p>
        </w:tc>
        <w:tc>
          <w:tcPr>
            <w:tcW w:w="2166" w:type="dxa"/>
            <w:tcBorders>
              <w:top w:val="single" w:sz="4" w:space="0" w:color="auto"/>
              <w:left w:val="single" w:sz="4" w:space="0" w:color="auto"/>
              <w:bottom w:val="single" w:sz="4" w:space="0" w:color="auto"/>
              <w:right w:val="single" w:sz="4" w:space="0" w:color="auto"/>
            </w:tcBorders>
          </w:tcPr>
          <w:p w14:paraId="6C3DAFC4" w14:textId="77777777" w:rsidR="00C7610D" w:rsidRDefault="00C7610D">
            <w:pPr>
              <w:pStyle w:val="yiv1859543581"/>
              <w:spacing w:before="40" w:beforeAutospacing="0" w:after="40" w:afterAutospacing="0"/>
              <w:jc w:val="center"/>
              <w:rPr>
                <w:rFonts w:ascii="Verdana" w:hAnsi="Verdana"/>
                <w:sz w:val="22"/>
                <w:szCs w:val="22"/>
              </w:rPr>
            </w:pPr>
          </w:p>
        </w:tc>
        <w:tc>
          <w:tcPr>
            <w:tcW w:w="2430" w:type="dxa"/>
            <w:tcBorders>
              <w:top w:val="single" w:sz="4" w:space="0" w:color="auto"/>
              <w:left w:val="single" w:sz="4" w:space="0" w:color="auto"/>
              <w:bottom w:val="single" w:sz="4" w:space="0" w:color="auto"/>
              <w:right w:val="single" w:sz="4" w:space="0" w:color="auto"/>
            </w:tcBorders>
          </w:tcPr>
          <w:p w14:paraId="158CD5A3" w14:textId="77777777" w:rsidR="00C7610D" w:rsidRDefault="00C7610D">
            <w:pPr>
              <w:pStyle w:val="yiv1859543581"/>
              <w:spacing w:before="40" w:beforeAutospacing="0" w:after="40" w:afterAutospacing="0"/>
              <w:jc w:val="center"/>
              <w:rPr>
                <w:rFonts w:ascii="Verdana" w:hAnsi="Verdana"/>
                <w:sz w:val="22"/>
                <w:szCs w:val="22"/>
              </w:rPr>
            </w:pPr>
          </w:p>
        </w:tc>
      </w:tr>
      <w:tr w:rsidR="00C7610D" w14:paraId="6AC93A94" w14:textId="77777777" w:rsidTr="00C7610D">
        <w:tc>
          <w:tcPr>
            <w:tcW w:w="4500" w:type="dxa"/>
            <w:tcBorders>
              <w:top w:val="single" w:sz="4" w:space="0" w:color="auto"/>
              <w:left w:val="single" w:sz="4" w:space="0" w:color="auto"/>
              <w:bottom w:val="single" w:sz="4" w:space="0" w:color="auto"/>
              <w:right w:val="single" w:sz="4" w:space="0" w:color="auto"/>
            </w:tcBorders>
            <w:hideMark/>
          </w:tcPr>
          <w:p w14:paraId="4A71B263"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Electricity</w:t>
            </w:r>
          </w:p>
        </w:tc>
        <w:tc>
          <w:tcPr>
            <w:tcW w:w="2166" w:type="dxa"/>
            <w:tcBorders>
              <w:top w:val="single" w:sz="4" w:space="0" w:color="auto"/>
              <w:left w:val="single" w:sz="4" w:space="0" w:color="auto"/>
              <w:bottom w:val="single" w:sz="4" w:space="0" w:color="auto"/>
              <w:right w:val="single" w:sz="4" w:space="0" w:color="auto"/>
            </w:tcBorders>
            <w:hideMark/>
          </w:tcPr>
          <w:p w14:paraId="06D553AA"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BGN 1,600/-</w:t>
            </w:r>
          </w:p>
        </w:tc>
        <w:tc>
          <w:tcPr>
            <w:tcW w:w="2430" w:type="dxa"/>
            <w:tcBorders>
              <w:top w:val="single" w:sz="4" w:space="0" w:color="auto"/>
              <w:left w:val="single" w:sz="4" w:space="0" w:color="auto"/>
              <w:bottom w:val="single" w:sz="4" w:space="0" w:color="auto"/>
              <w:right w:val="single" w:sz="4" w:space="0" w:color="auto"/>
            </w:tcBorders>
            <w:hideMark/>
          </w:tcPr>
          <w:p w14:paraId="40F7501D"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BGN 19,200/-</w:t>
            </w:r>
          </w:p>
        </w:tc>
      </w:tr>
      <w:tr w:rsidR="00C7610D" w14:paraId="6F8D747A" w14:textId="77777777" w:rsidTr="00C7610D">
        <w:tc>
          <w:tcPr>
            <w:tcW w:w="4500" w:type="dxa"/>
            <w:tcBorders>
              <w:top w:val="single" w:sz="4" w:space="0" w:color="auto"/>
              <w:left w:val="single" w:sz="4" w:space="0" w:color="auto"/>
              <w:bottom w:val="single" w:sz="4" w:space="0" w:color="auto"/>
              <w:right w:val="single" w:sz="4" w:space="0" w:color="auto"/>
            </w:tcBorders>
            <w:hideMark/>
          </w:tcPr>
          <w:p w14:paraId="44D93BFF"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Cold Water</w:t>
            </w:r>
          </w:p>
        </w:tc>
        <w:tc>
          <w:tcPr>
            <w:tcW w:w="2166" w:type="dxa"/>
            <w:tcBorders>
              <w:top w:val="single" w:sz="4" w:space="0" w:color="auto"/>
              <w:left w:val="single" w:sz="4" w:space="0" w:color="auto"/>
              <w:bottom w:val="single" w:sz="4" w:space="0" w:color="auto"/>
              <w:right w:val="single" w:sz="4" w:space="0" w:color="auto"/>
            </w:tcBorders>
            <w:hideMark/>
          </w:tcPr>
          <w:p w14:paraId="5CDF85C5"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BGN 200/-</w:t>
            </w:r>
          </w:p>
        </w:tc>
        <w:tc>
          <w:tcPr>
            <w:tcW w:w="2430" w:type="dxa"/>
            <w:tcBorders>
              <w:top w:val="single" w:sz="4" w:space="0" w:color="auto"/>
              <w:left w:val="single" w:sz="4" w:space="0" w:color="auto"/>
              <w:bottom w:val="single" w:sz="4" w:space="0" w:color="auto"/>
              <w:right w:val="single" w:sz="4" w:space="0" w:color="auto"/>
            </w:tcBorders>
            <w:hideMark/>
          </w:tcPr>
          <w:p w14:paraId="061BB222"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BGN 2,400/-</w:t>
            </w:r>
          </w:p>
        </w:tc>
      </w:tr>
      <w:tr w:rsidR="00C7610D" w14:paraId="2A6AA823" w14:textId="77777777" w:rsidTr="00C7610D">
        <w:tc>
          <w:tcPr>
            <w:tcW w:w="4500" w:type="dxa"/>
            <w:tcBorders>
              <w:top w:val="single" w:sz="4" w:space="0" w:color="auto"/>
              <w:left w:val="single" w:sz="4" w:space="0" w:color="auto"/>
              <w:bottom w:val="single" w:sz="4" w:space="0" w:color="auto"/>
              <w:right w:val="single" w:sz="4" w:space="0" w:color="auto"/>
            </w:tcBorders>
            <w:hideMark/>
          </w:tcPr>
          <w:p w14:paraId="20BA5A04"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Heating and Hot Water</w:t>
            </w:r>
          </w:p>
        </w:tc>
        <w:tc>
          <w:tcPr>
            <w:tcW w:w="2166" w:type="dxa"/>
            <w:tcBorders>
              <w:top w:val="single" w:sz="4" w:space="0" w:color="auto"/>
              <w:left w:val="single" w:sz="4" w:space="0" w:color="auto"/>
              <w:bottom w:val="single" w:sz="4" w:space="0" w:color="auto"/>
              <w:right w:val="single" w:sz="4" w:space="0" w:color="auto"/>
            </w:tcBorders>
            <w:hideMark/>
          </w:tcPr>
          <w:p w14:paraId="281C224C"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BGN 2,000/-</w:t>
            </w:r>
          </w:p>
        </w:tc>
        <w:tc>
          <w:tcPr>
            <w:tcW w:w="2430" w:type="dxa"/>
            <w:tcBorders>
              <w:top w:val="single" w:sz="4" w:space="0" w:color="auto"/>
              <w:left w:val="single" w:sz="4" w:space="0" w:color="auto"/>
              <w:bottom w:val="single" w:sz="4" w:space="0" w:color="auto"/>
              <w:right w:val="single" w:sz="4" w:space="0" w:color="auto"/>
            </w:tcBorders>
            <w:hideMark/>
          </w:tcPr>
          <w:p w14:paraId="5A5C8517"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BGN 24,000/-</w:t>
            </w:r>
          </w:p>
        </w:tc>
      </w:tr>
      <w:tr w:rsidR="00C7610D" w14:paraId="5D989664" w14:textId="77777777" w:rsidTr="00C7610D">
        <w:tc>
          <w:tcPr>
            <w:tcW w:w="4500" w:type="dxa"/>
            <w:tcBorders>
              <w:top w:val="single" w:sz="4" w:space="0" w:color="auto"/>
              <w:left w:val="single" w:sz="4" w:space="0" w:color="auto"/>
              <w:bottom w:val="single" w:sz="4" w:space="0" w:color="auto"/>
              <w:right w:val="single" w:sz="4" w:space="0" w:color="auto"/>
            </w:tcBorders>
            <w:hideMark/>
          </w:tcPr>
          <w:p w14:paraId="58C105F4" w14:textId="77777777" w:rsidR="00C7610D" w:rsidRDefault="00C7610D">
            <w:pPr>
              <w:pStyle w:val="yiv1859543581"/>
              <w:spacing w:before="40" w:beforeAutospacing="0" w:after="40" w:afterAutospacing="0"/>
              <w:jc w:val="center"/>
              <w:rPr>
                <w:rFonts w:ascii="Verdana" w:hAnsi="Verdana"/>
                <w:b/>
                <w:i/>
                <w:sz w:val="22"/>
                <w:szCs w:val="22"/>
              </w:rPr>
            </w:pPr>
            <w:r>
              <w:rPr>
                <w:rFonts w:ascii="Verdana" w:hAnsi="Verdana"/>
                <w:b/>
                <w:i/>
                <w:sz w:val="22"/>
                <w:szCs w:val="22"/>
              </w:rPr>
              <w:t>Occupancy</w:t>
            </w:r>
          </w:p>
        </w:tc>
        <w:tc>
          <w:tcPr>
            <w:tcW w:w="2166" w:type="dxa"/>
            <w:tcBorders>
              <w:top w:val="single" w:sz="4" w:space="0" w:color="auto"/>
              <w:left w:val="single" w:sz="4" w:space="0" w:color="auto"/>
              <w:bottom w:val="single" w:sz="4" w:space="0" w:color="auto"/>
              <w:right w:val="single" w:sz="4" w:space="0" w:color="auto"/>
            </w:tcBorders>
          </w:tcPr>
          <w:p w14:paraId="000E472C" w14:textId="77777777" w:rsidR="00C7610D" w:rsidRDefault="00C7610D">
            <w:pPr>
              <w:pStyle w:val="yiv1859543581"/>
              <w:spacing w:before="40" w:beforeAutospacing="0" w:after="40" w:afterAutospacing="0"/>
              <w:jc w:val="center"/>
              <w:rPr>
                <w:rFonts w:ascii="Verdana" w:hAnsi="Verdana"/>
                <w:sz w:val="22"/>
                <w:szCs w:val="22"/>
              </w:rPr>
            </w:pPr>
          </w:p>
        </w:tc>
        <w:tc>
          <w:tcPr>
            <w:tcW w:w="2430" w:type="dxa"/>
            <w:tcBorders>
              <w:top w:val="single" w:sz="4" w:space="0" w:color="auto"/>
              <w:left w:val="single" w:sz="4" w:space="0" w:color="auto"/>
              <w:bottom w:val="single" w:sz="4" w:space="0" w:color="auto"/>
              <w:right w:val="single" w:sz="4" w:space="0" w:color="auto"/>
            </w:tcBorders>
          </w:tcPr>
          <w:p w14:paraId="3ECD1B2E" w14:textId="77777777" w:rsidR="00C7610D" w:rsidRDefault="00C7610D">
            <w:pPr>
              <w:pStyle w:val="yiv1859543581"/>
              <w:spacing w:before="40" w:beforeAutospacing="0" w:after="40" w:afterAutospacing="0"/>
              <w:jc w:val="center"/>
              <w:rPr>
                <w:rFonts w:ascii="Verdana" w:hAnsi="Verdana"/>
                <w:sz w:val="22"/>
                <w:szCs w:val="22"/>
              </w:rPr>
            </w:pPr>
          </w:p>
        </w:tc>
      </w:tr>
      <w:tr w:rsidR="00C7610D" w14:paraId="0157E443" w14:textId="77777777" w:rsidTr="00C7610D">
        <w:tc>
          <w:tcPr>
            <w:tcW w:w="4500" w:type="dxa"/>
            <w:tcBorders>
              <w:top w:val="single" w:sz="4" w:space="0" w:color="auto"/>
              <w:left w:val="single" w:sz="4" w:space="0" w:color="auto"/>
              <w:bottom w:val="single" w:sz="4" w:space="0" w:color="auto"/>
              <w:right w:val="single" w:sz="4" w:space="0" w:color="auto"/>
            </w:tcBorders>
            <w:hideMark/>
          </w:tcPr>
          <w:p w14:paraId="41CE6A45"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Rent Office Building</w:t>
            </w:r>
          </w:p>
        </w:tc>
        <w:tc>
          <w:tcPr>
            <w:tcW w:w="2166" w:type="dxa"/>
            <w:tcBorders>
              <w:top w:val="single" w:sz="4" w:space="0" w:color="auto"/>
              <w:left w:val="single" w:sz="4" w:space="0" w:color="auto"/>
              <w:bottom w:val="single" w:sz="4" w:space="0" w:color="auto"/>
              <w:right w:val="single" w:sz="4" w:space="0" w:color="auto"/>
            </w:tcBorders>
            <w:hideMark/>
          </w:tcPr>
          <w:p w14:paraId="26CFC125" w14:textId="77777777" w:rsidR="00C7610D" w:rsidRDefault="00C7610D">
            <w:pPr>
              <w:pStyle w:val="yiv1859543581"/>
              <w:spacing w:before="40" w:beforeAutospacing="0" w:after="40" w:afterAutospacing="0"/>
              <w:jc w:val="center"/>
              <w:rPr>
                <w:rFonts w:ascii="Verdana" w:hAnsi="Verdana"/>
                <w:sz w:val="22"/>
                <w:szCs w:val="22"/>
                <w:vertAlign w:val="superscript"/>
              </w:rPr>
            </w:pPr>
            <w:r>
              <w:rPr>
                <w:rFonts w:ascii="Verdana" w:hAnsi="Verdana"/>
                <w:sz w:val="22"/>
                <w:szCs w:val="22"/>
              </w:rPr>
              <w:t>BGN 10 per m</w:t>
            </w:r>
            <w:r>
              <w:rPr>
                <w:rFonts w:ascii="Verdana" w:hAnsi="Verdana"/>
                <w:sz w:val="22"/>
                <w:szCs w:val="22"/>
                <w:vertAlign w:val="superscript"/>
              </w:rPr>
              <w:t>2</w:t>
            </w:r>
          </w:p>
        </w:tc>
        <w:tc>
          <w:tcPr>
            <w:tcW w:w="2430" w:type="dxa"/>
            <w:tcBorders>
              <w:top w:val="single" w:sz="4" w:space="0" w:color="auto"/>
              <w:left w:val="single" w:sz="4" w:space="0" w:color="auto"/>
              <w:bottom w:val="single" w:sz="4" w:space="0" w:color="auto"/>
              <w:right w:val="single" w:sz="4" w:space="0" w:color="auto"/>
            </w:tcBorders>
            <w:hideMark/>
          </w:tcPr>
          <w:p w14:paraId="0B316762"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BGN 120 per m</w:t>
            </w:r>
            <w:r>
              <w:rPr>
                <w:rFonts w:ascii="Verdana" w:hAnsi="Verdana"/>
                <w:sz w:val="22"/>
                <w:szCs w:val="22"/>
                <w:vertAlign w:val="superscript"/>
              </w:rPr>
              <w:t>2</w:t>
            </w:r>
          </w:p>
        </w:tc>
      </w:tr>
      <w:tr w:rsidR="00C7610D" w14:paraId="651FDA5C" w14:textId="77777777" w:rsidTr="00C7610D">
        <w:tc>
          <w:tcPr>
            <w:tcW w:w="4500" w:type="dxa"/>
            <w:tcBorders>
              <w:top w:val="single" w:sz="4" w:space="0" w:color="auto"/>
              <w:left w:val="single" w:sz="4" w:space="0" w:color="auto"/>
              <w:bottom w:val="single" w:sz="4" w:space="0" w:color="auto"/>
              <w:right w:val="single" w:sz="4" w:space="0" w:color="auto"/>
            </w:tcBorders>
            <w:hideMark/>
          </w:tcPr>
          <w:p w14:paraId="23DC80A9" w14:textId="77777777" w:rsidR="00C7610D" w:rsidRDefault="00C7610D">
            <w:pPr>
              <w:pStyle w:val="yiv1859543581"/>
              <w:spacing w:before="40" w:beforeAutospacing="0" w:after="40" w:afterAutospacing="0"/>
              <w:jc w:val="center"/>
              <w:rPr>
                <w:rFonts w:ascii="Verdana" w:hAnsi="Verdana"/>
                <w:b/>
                <w:i/>
                <w:sz w:val="22"/>
                <w:szCs w:val="22"/>
              </w:rPr>
            </w:pPr>
            <w:r>
              <w:rPr>
                <w:rFonts w:ascii="Verdana" w:hAnsi="Verdana"/>
                <w:b/>
                <w:i/>
                <w:sz w:val="22"/>
                <w:szCs w:val="22"/>
              </w:rPr>
              <w:t>Miscellaneous</w:t>
            </w:r>
          </w:p>
        </w:tc>
        <w:tc>
          <w:tcPr>
            <w:tcW w:w="2166" w:type="dxa"/>
            <w:tcBorders>
              <w:top w:val="single" w:sz="4" w:space="0" w:color="auto"/>
              <w:left w:val="single" w:sz="4" w:space="0" w:color="auto"/>
              <w:bottom w:val="single" w:sz="4" w:space="0" w:color="auto"/>
              <w:right w:val="single" w:sz="4" w:space="0" w:color="auto"/>
            </w:tcBorders>
          </w:tcPr>
          <w:p w14:paraId="5D408E37" w14:textId="77777777" w:rsidR="00C7610D" w:rsidRDefault="00C7610D">
            <w:pPr>
              <w:pStyle w:val="yiv1859543581"/>
              <w:spacing w:before="40" w:beforeAutospacing="0" w:after="40" w:afterAutospacing="0"/>
              <w:jc w:val="center"/>
              <w:rPr>
                <w:rFonts w:ascii="Verdana" w:hAnsi="Verdana"/>
                <w:sz w:val="22"/>
                <w:szCs w:val="22"/>
              </w:rPr>
            </w:pPr>
          </w:p>
        </w:tc>
        <w:tc>
          <w:tcPr>
            <w:tcW w:w="2430" w:type="dxa"/>
            <w:tcBorders>
              <w:top w:val="single" w:sz="4" w:space="0" w:color="auto"/>
              <w:left w:val="single" w:sz="4" w:space="0" w:color="auto"/>
              <w:bottom w:val="single" w:sz="4" w:space="0" w:color="auto"/>
              <w:right w:val="single" w:sz="4" w:space="0" w:color="auto"/>
            </w:tcBorders>
          </w:tcPr>
          <w:p w14:paraId="109CA984" w14:textId="77777777" w:rsidR="00C7610D" w:rsidRDefault="00C7610D">
            <w:pPr>
              <w:pStyle w:val="yiv1859543581"/>
              <w:spacing w:before="40" w:beforeAutospacing="0" w:after="40" w:afterAutospacing="0"/>
              <w:jc w:val="center"/>
              <w:rPr>
                <w:rFonts w:ascii="Verdana" w:hAnsi="Verdana"/>
                <w:sz w:val="22"/>
                <w:szCs w:val="22"/>
              </w:rPr>
            </w:pPr>
          </w:p>
        </w:tc>
      </w:tr>
      <w:tr w:rsidR="00C7610D" w14:paraId="7E82A5AF" w14:textId="77777777" w:rsidTr="00C7610D">
        <w:tc>
          <w:tcPr>
            <w:tcW w:w="4500" w:type="dxa"/>
            <w:tcBorders>
              <w:top w:val="single" w:sz="4" w:space="0" w:color="auto"/>
              <w:left w:val="single" w:sz="4" w:space="0" w:color="auto"/>
              <w:bottom w:val="single" w:sz="4" w:space="0" w:color="auto"/>
              <w:right w:val="single" w:sz="4" w:space="0" w:color="auto"/>
            </w:tcBorders>
            <w:hideMark/>
          </w:tcPr>
          <w:p w14:paraId="1208D81C" w14:textId="77777777" w:rsidR="00C7610D" w:rsidRDefault="00C7610D">
            <w:pPr>
              <w:pStyle w:val="yiv1859543581"/>
              <w:spacing w:before="40" w:beforeAutospacing="0" w:after="40" w:afterAutospacing="0"/>
              <w:jc w:val="center"/>
              <w:rPr>
                <w:rFonts w:ascii="Verdana" w:hAnsi="Verdana"/>
                <w:i/>
                <w:sz w:val="22"/>
                <w:szCs w:val="22"/>
              </w:rPr>
            </w:pPr>
            <w:r>
              <w:rPr>
                <w:rFonts w:ascii="Verdana" w:hAnsi="Verdana"/>
                <w:i/>
                <w:sz w:val="22"/>
                <w:szCs w:val="22"/>
              </w:rPr>
              <w:t>Stationery</w:t>
            </w:r>
          </w:p>
        </w:tc>
        <w:tc>
          <w:tcPr>
            <w:tcW w:w="2166" w:type="dxa"/>
            <w:tcBorders>
              <w:top w:val="single" w:sz="4" w:space="0" w:color="auto"/>
              <w:left w:val="single" w:sz="4" w:space="0" w:color="auto"/>
              <w:bottom w:val="single" w:sz="4" w:space="0" w:color="auto"/>
              <w:right w:val="single" w:sz="4" w:space="0" w:color="auto"/>
            </w:tcBorders>
            <w:hideMark/>
          </w:tcPr>
          <w:p w14:paraId="78577818"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BGN-1,500/-</w:t>
            </w:r>
          </w:p>
        </w:tc>
        <w:tc>
          <w:tcPr>
            <w:tcW w:w="2430" w:type="dxa"/>
            <w:tcBorders>
              <w:top w:val="single" w:sz="4" w:space="0" w:color="auto"/>
              <w:left w:val="single" w:sz="4" w:space="0" w:color="auto"/>
              <w:bottom w:val="single" w:sz="4" w:space="0" w:color="auto"/>
              <w:right w:val="single" w:sz="4" w:space="0" w:color="auto"/>
            </w:tcBorders>
            <w:hideMark/>
          </w:tcPr>
          <w:p w14:paraId="4EA72D53"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BGN 18,000/-</w:t>
            </w:r>
          </w:p>
        </w:tc>
      </w:tr>
      <w:tr w:rsidR="00C7610D" w14:paraId="727D8F00" w14:textId="77777777" w:rsidTr="00C7610D">
        <w:tc>
          <w:tcPr>
            <w:tcW w:w="4500" w:type="dxa"/>
            <w:tcBorders>
              <w:top w:val="single" w:sz="4" w:space="0" w:color="auto"/>
              <w:left w:val="single" w:sz="4" w:space="0" w:color="auto"/>
              <w:bottom w:val="single" w:sz="4" w:space="0" w:color="auto"/>
              <w:right w:val="single" w:sz="4" w:space="0" w:color="auto"/>
            </w:tcBorders>
            <w:hideMark/>
          </w:tcPr>
          <w:p w14:paraId="751B3749"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Printing &amp; Publication</w:t>
            </w:r>
          </w:p>
        </w:tc>
        <w:tc>
          <w:tcPr>
            <w:tcW w:w="2166" w:type="dxa"/>
            <w:tcBorders>
              <w:top w:val="single" w:sz="4" w:space="0" w:color="auto"/>
              <w:left w:val="single" w:sz="4" w:space="0" w:color="auto"/>
              <w:bottom w:val="single" w:sz="4" w:space="0" w:color="auto"/>
              <w:right w:val="single" w:sz="4" w:space="0" w:color="auto"/>
            </w:tcBorders>
            <w:hideMark/>
          </w:tcPr>
          <w:p w14:paraId="3024F085"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BGN 100/-</w:t>
            </w:r>
          </w:p>
        </w:tc>
        <w:tc>
          <w:tcPr>
            <w:tcW w:w="2430" w:type="dxa"/>
            <w:tcBorders>
              <w:top w:val="single" w:sz="4" w:space="0" w:color="auto"/>
              <w:left w:val="single" w:sz="4" w:space="0" w:color="auto"/>
              <w:bottom w:val="single" w:sz="4" w:space="0" w:color="auto"/>
              <w:right w:val="single" w:sz="4" w:space="0" w:color="auto"/>
            </w:tcBorders>
            <w:hideMark/>
          </w:tcPr>
          <w:p w14:paraId="142BE1AE"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BGN 1,200/-</w:t>
            </w:r>
          </w:p>
        </w:tc>
      </w:tr>
      <w:tr w:rsidR="00C7610D" w14:paraId="3DEE13FF" w14:textId="77777777" w:rsidTr="00C7610D">
        <w:tc>
          <w:tcPr>
            <w:tcW w:w="4500" w:type="dxa"/>
            <w:tcBorders>
              <w:top w:val="single" w:sz="4" w:space="0" w:color="auto"/>
              <w:left w:val="single" w:sz="4" w:space="0" w:color="auto"/>
              <w:bottom w:val="single" w:sz="4" w:space="0" w:color="auto"/>
              <w:right w:val="single" w:sz="4" w:space="0" w:color="auto"/>
            </w:tcBorders>
            <w:hideMark/>
          </w:tcPr>
          <w:p w14:paraId="55E3D515"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Printing &amp; Publication</w:t>
            </w:r>
          </w:p>
        </w:tc>
        <w:tc>
          <w:tcPr>
            <w:tcW w:w="2166" w:type="dxa"/>
            <w:tcBorders>
              <w:top w:val="single" w:sz="4" w:space="0" w:color="auto"/>
              <w:left w:val="single" w:sz="4" w:space="0" w:color="auto"/>
              <w:bottom w:val="single" w:sz="4" w:space="0" w:color="auto"/>
              <w:right w:val="single" w:sz="4" w:space="0" w:color="auto"/>
            </w:tcBorders>
            <w:hideMark/>
          </w:tcPr>
          <w:p w14:paraId="207257A1"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BGN 75/-</w:t>
            </w:r>
          </w:p>
        </w:tc>
        <w:tc>
          <w:tcPr>
            <w:tcW w:w="2430" w:type="dxa"/>
            <w:tcBorders>
              <w:top w:val="single" w:sz="4" w:space="0" w:color="auto"/>
              <w:left w:val="single" w:sz="4" w:space="0" w:color="auto"/>
              <w:bottom w:val="single" w:sz="4" w:space="0" w:color="auto"/>
              <w:right w:val="single" w:sz="4" w:space="0" w:color="auto"/>
            </w:tcBorders>
            <w:hideMark/>
          </w:tcPr>
          <w:p w14:paraId="5D987C86"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BGN 900/-</w:t>
            </w:r>
          </w:p>
        </w:tc>
      </w:tr>
      <w:tr w:rsidR="00C7610D" w14:paraId="482A419C" w14:textId="77777777" w:rsidTr="00C7610D">
        <w:tc>
          <w:tcPr>
            <w:tcW w:w="4500" w:type="dxa"/>
            <w:tcBorders>
              <w:top w:val="single" w:sz="4" w:space="0" w:color="auto"/>
              <w:left w:val="single" w:sz="4" w:space="0" w:color="auto"/>
              <w:bottom w:val="single" w:sz="4" w:space="0" w:color="auto"/>
              <w:right w:val="single" w:sz="4" w:space="0" w:color="auto"/>
            </w:tcBorders>
            <w:hideMark/>
          </w:tcPr>
          <w:p w14:paraId="7181E604" w14:textId="77777777" w:rsidR="00C7610D" w:rsidRDefault="00C7610D">
            <w:pPr>
              <w:pStyle w:val="yiv1859543581"/>
              <w:spacing w:before="40" w:beforeAutospacing="0" w:after="40" w:afterAutospacing="0"/>
              <w:jc w:val="center"/>
              <w:rPr>
                <w:rFonts w:ascii="Verdana" w:hAnsi="Verdana"/>
                <w:b/>
                <w:i/>
                <w:sz w:val="22"/>
                <w:szCs w:val="22"/>
              </w:rPr>
            </w:pPr>
            <w:r>
              <w:rPr>
                <w:rFonts w:ascii="Verdana" w:hAnsi="Verdana"/>
                <w:b/>
                <w:i/>
                <w:sz w:val="22"/>
                <w:szCs w:val="22"/>
              </w:rPr>
              <w:t>Repair &amp; Maintenance</w:t>
            </w:r>
          </w:p>
        </w:tc>
        <w:tc>
          <w:tcPr>
            <w:tcW w:w="2166" w:type="dxa"/>
            <w:tcBorders>
              <w:top w:val="single" w:sz="4" w:space="0" w:color="auto"/>
              <w:left w:val="single" w:sz="4" w:space="0" w:color="auto"/>
              <w:bottom w:val="single" w:sz="4" w:space="0" w:color="auto"/>
              <w:right w:val="single" w:sz="4" w:space="0" w:color="auto"/>
            </w:tcBorders>
          </w:tcPr>
          <w:p w14:paraId="1F621321" w14:textId="77777777" w:rsidR="00C7610D" w:rsidRDefault="00C7610D">
            <w:pPr>
              <w:pStyle w:val="yiv1859543581"/>
              <w:spacing w:before="40" w:beforeAutospacing="0" w:after="40" w:afterAutospacing="0"/>
              <w:jc w:val="center"/>
              <w:rPr>
                <w:rFonts w:ascii="Verdana" w:hAnsi="Verdana"/>
                <w:sz w:val="22"/>
                <w:szCs w:val="22"/>
              </w:rPr>
            </w:pPr>
          </w:p>
        </w:tc>
        <w:tc>
          <w:tcPr>
            <w:tcW w:w="2430" w:type="dxa"/>
            <w:tcBorders>
              <w:top w:val="single" w:sz="4" w:space="0" w:color="auto"/>
              <w:left w:val="single" w:sz="4" w:space="0" w:color="auto"/>
              <w:bottom w:val="single" w:sz="4" w:space="0" w:color="auto"/>
              <w:right w:val="single" w:sz="4" w:space="0" w:color="auto"/>
            </w:tcBorders>
          </w:tcPr>
          <w:p w14:paraId="10848D37" w14:textId="77777777" w:rsidR="00C7610D" w:rsidRDefault="00C7610D">
            <w:pPr>
              <w:pStyle w:val="yiv1859543581"/>
              <w:spacing w:before="40" w:beforeAutospacing="0" w:after="40" w:afterAutospacing="0"/>
              <w:jc w:val="center"/>
              <w:rPr>
                <w:rFonts w:ascii="Verdana" w:hAnsi="Verdana"/>
                <w:sz w:val="22"/>
                <w:szCs w:val="22"/>
              </w:rPr>
            </w:pPr>
          </w:p>
        </w:tc>
      </w:tr>
      <w:tr w:rsidR="00C7610D" w14:paraId="031A003E" w14:textId="77777777" w:rsidTr="00C7610D">
        <w:tc>
          <w:tcPr>
            <w:tcW w:w="4500" w:type="dxa"/>
            <w:tcBorders>
              <w:top w:val="single" w:sz="4" w:space="0" w:color="auto"/>
              <w:left w:val="single" w:sz="4" w:space="0" w:color="auto"/>
              <w:bottom w:val="single" w:sz="4" w:space="0" w:color="auto"/>
              <w:right w:val="single" w:sz="4" w:space="0" w:color="auto"/>
            </w:tcBorders>
            <w:hideMark/>
          </w:tcPr>
          <w:p w14:paraId="1823D438"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Machinery &amp; Equipment</w:t>
            </w:r>
          </w:p>
        </w:tc>
        <w:tc>
          <w:tcPr>
            <w:tcW w:w="2166" w:type="dxa"/>
            <w:tcBorders>
              <w:top w:val="single" w:sz="4" w:space="0" w:color="auto"/>
              <w:left w:val="single" w:sz="4" w:space="0" w:color="auto"/>
              <w:bottom w:val="single" w:sz="4" w:space="0" w:color="auto"/>
              <w:right w:val="single" w:sz="4" w:space="0" w:color="auto"/>
            </w:tcBorders>
            <w:hideMark/>
          </w:tcPr>
          <w:p w14:paraId="319113F4"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BGN 250/-</w:t>
            </w:r>
          </w:p>
        </w:tc>
        <w:tc>
          <w:tcPr>
            <w:tcW w:w="2430" w:type="dxa"/>
            <w:tcBorders>
              <w:top w:val="single" w:sz="4" w:space="0" w:color="auto"/>
              <w:left w:val="single" w:sz="4" w:space="0" w:color="auto"/>
              <w:bottom w:val="single" w:sz="4" w:space="0" w:color="auto"/>
              <w:right w:val="single" w:sz="4" w:space="0" w:color="auto"/>
            </w:tcBorders>
            <w:hideMark/>
          </w:tcPr>
          <w:p w14:paraId="25B7468B"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BGN 3,000/-</w:t>
            </w:r>
          </w:p>
        </w:tc>
      </w:tr>
      <w:tr w:rsidR="00C7610D" w14:paraId="3DA307D5" w14:textId="77777777" w:rsidTr="00C7610D">
        <w:tc>
          <w:tcPr>
            <w:tcW w:w="4500" w:type="dxa"/>
            <w:tcBorders>
              <w:top w:val="single" w:sz="4" w:space="0" w:color="auto"/>
              <w:left w:val="single" w:sz="4" w:space="0" w:color="auto"/>
              <w:bottom w:val="single" w:sz="4" w:space="0" w:color="auto"/>
              <w:right w:val="single" w:sz="4" w:space="0" w:color="auto"/>
            </w:tcBorders>
            <w:hideMark/>
          </w:tcPr>
          <w:p w14:paraId="1787F16A"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Furnitures &amp; Fixtures</w:t>
            </w:r>
          </w:p>
        </w:tc>
        <w:tc>
          <w:tcPr>
            <w:tcW w:w="2166" w:type="dxa"/>
            <w:tcBorders>
              <w:top w:val="single" w:sz="4" w:space="0" w:color="auto"/>
              <w:left w:val="single" w:sz="4" w:space="0" w:color="auto"/>
              <w:bottom w:val="single" w:sz="4" w:space="0" w:color="auto"/>
              <w:right w:val="single" w:sz="4" w:space="0" w:color="auto"/>
            </w:tcBorders>
            <w:hideMark/>
          </w:tcPr>
          <w:p w14:paraId="55452D66"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BGN 250/-</w:t>
            </w:r>
          </w:p>
        </w:tc>
        <w:tc>
          <w:tcPr>
            <w:tcW w:w="2430" w:type="dxa"/>
            <w:tcBorders>
              <w:top w:val="single" w:sz="4" w:space="0" w:color="auto"/>
              <w:left w:val="single" w:sz="4" w:space="0" w:color="auto"/>
              <w:bottom w:val="single" w:sz="4" w:space="0" w:color="auto"/>
              <w:right w:val="single" w:sz="4" w:space="0" w:color="auto"/>
            </w:tcBorders>
            <w:hideMark/>
          </w:tcPr>
          <w:p w14:paraId="59EB943F"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BGN 3,000/-</w:t>
            </w:r>
          </w:p>
        </w:tc>
      </w:tr>
      <w:tr w:rsidR="00C7610D" w14:paraId="4FD2C49A" w14:textId="77777777" w:rsidTr="00C7610D">
        <w:tc>
          <w:tcPr>
            <w:tcW w:w="4500" w:type="dxa"/>
            <w:tcBorders>
              <w:top w:val="single" w:sz="4" w:space="0" w:color="auto"/>
              <w:left w:val="single" w:sz="4" w:space="0" w:color="auto"/>
              <w:bottom w:val="single" w:sz="4" w:space="0" w:color="auto"/>
              <w:right w:val="single" w:sz="4" w:space="0" w:color="auto"/>
            </w:tcBorders>
            <w:hideMark/>
          </w:tcPr>
          <w:p w14:paraId="32705324"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General Upkeep</w:t>
            </w:r>
          </w:p>
        </w:tc>
        <w:tc>
          <w:tcPr>
            <w:tcW w:w="2166" w:type="dxa"/>
            <w:tcBorders>
              <w:top w:val="single" w:sz="4" w:space="0" w:color="auto"/>
              <w:left w:val="single" w:sz="4" w:space="0" w:color="auto"/>
              <w:bottom w:val="single" w:sz="4" w:space="0" w:color="auto"/>
              <w:right w:val="single" w:sz="4" w:space="0" w:color="auto"/>
            </w:tcBorders>
            <w:hideMark/>
          </w:tcPr>
          <w:p w14:paraId="1A3260F9"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BGN 100/-</w:t>
            </w:r>
          </w:p>
        </w:tc>
        <w:tc>
          <w:tcPr>
            <w:tcW w:w="2430" w:type="dxa"/>
            <w:tcBorders>
              <w:top w:val="single" w:sz="4" w:space="0" w:color="auto"/>
              <w:left w:val="single" w:sz="4" w:space="0" w:color="auto"/>
              <w:bottom w:val="single" w:sz="4" w:space="0" w:color="auto"/>
              <w:right w:val="single" w:sz="4" w:space="0" w:color="auto"/>
            </w:tcBorders>
            <w:hideMark/>
          </w:tcPr>
          <w:p w14:paraId="19BF0295" w14:textId="77777777" w:rsidR="00C7610D" w:rsidRDefault="00C7610D">
            <w:pPr>
              <w:pStyle w:val="yiv1859543581"/>
              <w:spacing w:before="40" w:beforeAutospacing="0" w:after="40" w:afterAutospacing="0"/>
              <w:jc w:val="center"/>
              <w:rPr>
                <w:rFonts w:ascii="Verdana" w:hAnsi="Verdana"/>
                <w:sz w:val="22"/>
                <w:szCs w:val="22"/>
              </w:rPr>
            </w:pPr>
            <w:r>
              <w:rPr>
                <w:rFonts w:ascii="Verdana" w:hAnsi="Verdana"/>
                <w:sz w:val="22"/>
                <w:szCs w:val="22"/>
              </w:rPr>
              <w:t>BGN 1,200/-</w:t>
            </w:r>
          </w:p>
        </w:tc>
      </w:tr>
    </w:tbl>
    <w:p w14:paraId="63CD23CE" w14:textId="77777777" w:rsidR="00C7610D" w:rsidRDefault="00C7610D" w:rsidP="00C7610D">
      <w:pPr>
        <w:pStyle w:val="yiv1859543581"/>
        <w:shd w:val="clear" w:color="auto" w:fill="FFFFFF"/>
        <w:spacing w:before="0" w:beforeAutospacing="0" w:after="0" w:afterAutospacing="0"/>
        <w:jc w:val="both"/>
        <w:rPr>
          <w:rFonts w:ascii="Verdana" w:hAnsi="Verdana"/>
          <w:b/>
          <w:i/>
          <w:sz w:val="22"/>
          <w:szCs w:val="22"/>
          <w:u w:val="single"/>
        </w:rPr>
      </w:pPr>
    </w:p>
    <w:p w14:paraId="1921B49E" w14:textId="77777777" w:rsidR="00C54A90" w:rsidRDefault="00C54A90" w:rsidP="00C7610D">
      <w:pPr>
        <w:shd w:val="clear" w:color="auto" w:fill="FFFFFF"/>
        <w:jc w:val="both"/>
        <w:rPr>
          <w:rFonts w:ascii="Verdana" w:hAnsi="Verdana"/>
          <w:b/>
          <w:u w:val="single"/>
        </w:rPr>
      </w:pPr>
    </w:p>
    <w:p w14:paraId="4FE38A33" w14:textId="5B710034" w:rsidR="00C7610D" w:rsidRDefault="00C7610D" w:rsidP="00C7610D">
      <w:pPr>
        <w:shd w:val="clear" w:color="auto" w:fill="FFFFFF"/>
        <w:jc w:val="both"/>
        <w:rPr>
          <w:rFonts w:ascii="Verdana" w:hAnsi="Verdana"/>
          <w:b/>
          <w:u w:val="single"/>
        </w:rPr>
      </w:pPr>
      <w:r>
        <w:rPr>
          <w:rFonts w:ascii="Verdana" w:hAnsi="Verdana"/>
          <w:b/>
          <w:u w:val="single"/>
        </w:rPr>
        <w:t>Demarcation Of Costs</w:t>
      </w:r>
    </w:p>
    <w:p w14:paraId="6739A3BC" w14:textId="77777777" w:rsidR="00C7610D" w:rsidRDefault="00C7610D" w:rsidP="00C7610D">
      <w:pPr>
        <w:shd w:val="clear" w:color="auto" w:fill="FFFFFF"/>
        <w:jc w:val="both"/>
        <w:rPr>
          <w:rFonts w:ascii="Verdana" w:hAnsi="Verdana"/>
          <w:u w:val="single"/>
        </w:rPr>
      </w:pPr>
      <w:r>
        <w:rPr>
          <w:rFonts w:ascii="Verdana" w:hAnsi="Verdana"/>
          <w:u w:val="single"/>
        </w:rPr>
        <w:t xml:space="preserve">Staff Emolument </w:t>
      </w:r>
    </w:p>
    <w:p w14:paraId="294B6201" w14:textId="77777777" w:rsidR="00C7610D" w:rsidRDefault="00C7610D" w:rsidP="00C7610D">
      <w:pPr>
        <w:shd w:val="clear" w:color="auto" w:fill="FFFFFF"/>
        <w:tabs>
          <w:tab w:val="left" w:pos="720"/>
          <w:tab w:val="left" w:pos="6480"/>
        </w:tabs>
        <w:spacing w:line="240" w:lineRule="auto"/>
        <w:jc w:val="both"/>
        <w:rPr>
          <w:rFonts w:ascii="Verdana" w:hAnsi="Verdana"/>
        </w:rPr>
      </w:pPr>
      <w:r>
        <w:rPr>
          <w:rFonts w:ascii="Verdana" w:hAnsi="Verdana"/>
        </w:rPr>
        <w:t>1.</w:t>
      </w:r>
      <w:r>
        <w:rPr>
          <w:rFonts w:ascii="Verdana" w:hAnsi="Verdana"/>
        </w:rPr>
        <w:tab/>
        <w:t>Four E-Marketing Experts BGN 1,200x4 = BGN 4800/-</w:t>
      </w:r>
    </w:p>
    <w:p w14:paraId="4BFB79C2" w14:textId="77777777" w:rsidR="00C7610D" w:rsidRDefault="00C7610D" w:rsidP="00C7610D">
      <w:pPr>
        <w:shd w:val="clear" w:color="auto" w:fill="FFFFFF"/>
        <w:tabs>
          <w:tab w:val="left" w:pos="720"/>
          <w:tab w:val="left" w:pos="6480"/>
        </w:tabs>
        <w:spacing w:line="240" w:lineRule="auto"/>
        <w:jc w:val="both"/>
        <w:rPr>
          <w:rFonts w:ascii="Verdana" w:hAnsi="Verdana"/>
        </w:rPr>
      </w:pPr>
      <w:r>
        <w:rPr>
          <w:rFonts w:ascii="Verdana" w:hAnsi="Verdana"/>
        </w:rPr>
        <w:t>2.</w:t>
      </w:r>
      <w:r>
        <w:rPr>
          <w:rFonts w:ascii="Verdana" w:hAnsi="Verdana"/>
        </w:rPr>
        <w:tab/>
        <w:t>Two Public Relations Coordinators BGN 1,200x2 = BGN 2,400/-</w:t>
      </w:r>
    </w:p>
    <w:p w14:paraId="097AE690" w14:textId="77777777" w:rsidR="00C7610D" w:rsidRDefault="00C7610D" w:rsidP="00C7610D">
      <w:pPr>
        <w:shd w:val="clear" w:color="auto" w:fill="FFFFFF"/>
        <w:tabs>
          <w:tab w:val="left" w:pos="720"/>
          <w:tab w:val="left" w:pos="6480"/>
        </w:tabs>
        <w:spacing w:line="240" w:lineRule="auto"/>
        <w:jc w:val="both"/>
        <w:rPr>
          <w:rFonts w:ascii="Verdana" w:hAnsi="Verdana"/>
        </w:rPr>
      </w:pPr>
      <w:r>
        <w:rPr>
          <w:rFonts w:ascii="Verdana" w:hAnsi="Verdana"/>
        </w:rPr>
        <w:t>3.</w:t>
      </w:r>
      <w:r>
        <w:rPr>
          <w:rFonts w:ascii="Verdana" w:hAnsi="Verdana"/>
        </w:rPr>
        <w:tab/>
        <w:t>One Telephone Operator cum Receptionist BGN 1,000/-</w:t>
      </w:r>
    </w:p>
    <w:p w14:paraId="4AEBE90B" w14:textId="77777777" w:rsidR="00C7610D" w:rsidRDefault="00C7610D" w:rsidP="00C7610D">
      <w:pPr>
        <w:shd w:val="clear" w:color="auto" w:fill="FFFFFF"/>
        <w:tabs>
          <w:tab w:val="left" w:pos="720"/>
          <w:tab w:val="left" w:pos="6480"/>
        </w:tabs>
        <w:spacing w:line="240" w:lineRule="auto"/>
        <w:jc w:val="both"/>
        <w:rPr>
          <w:rFonts w:ascii="Verdana" w:hAnsi="Verdana"/>
        </w:rPr>
      </w:pPr>
      <w:r>
        <w:rPr>
          <w:rFonts w:ascii="Verdana" w:hAnsi="Verdana"/>
        </w:rPr>
        <w:t>4.</w:t>
      </w:r>
      <w:r>
        <w:rPr>
          <w:rFonts w:ascii="Verdana" w:hAnsi="Verdana"/>
        </w:rPr>
        <w:tab/>
        <w:t>One Dispatch Rider BGN 700/-</w:t>
      </w:r>
    </w:p>
    <w:p w14:paraId="575836D1" w14:textId="77777777" w:rsidR="00C7610D" w:rsidRDefault="00C7610D" w:rsidP="00C7610D">
      <w:pPr>
        <w:shd w:val="clear" w:color="auto" w:fill="FFFFFF"/>
        <w:tabs>
          <w:tab w:val="left" w:pos="720"/>
          <w:tab w:val="left" w:pos="6480"/>
        </w:tabs>
        <w:spacing w:line="240" w:lineRule="auto"/>
        <w:jc w:val="both"/>
        <w:rPr>
          <w:rFonts w:ascii="Verdana" w:hAnsi="Verdana"/>
        </w:rPr>
      </w:pPr>
      <w:r>
        <w:rPr>
          <w:rFonts w:ascii="Verdana" w:hAnsi="Verdana"/>
        </w:rPr>
        <w:t>5.</w:t>
      </w:r>
      <w:r>
        <w:rPr>
          <w:rFonts w:ascii="Verdana" w:hAnsi="Verdana"/>
        </w:rPr>
        <w:tab/>
        <w:t>One HelperBGN 700/-</w:t>
      </w:r>
    </w:p>
    <w:p w14:paraId="6E3BD860" w14:textId="77777777" w:rsidR="00C7610D" w:rsidRDefault="00C7610D" w:rsidP="00C7610D">
      <w:pPr>
        <w:shd w:val="clear" w:color="auto" w:fill="FFFFFF"/>
        <w:tabs>
          <w:tab w:val="left" w:pos="720"/>
          <w:tab w:val="left" w:pos="6480"/>
        </w:tabs>
        <w:spacing w:line="240" w:lineRule="auto"/>
        <w:jc w:val="both"/>
        <w:rPr>
          <w:rFonts w:ascii="Verdana" w:hAnsi="Verdana"/>
        </w:rPr>
      </w:pPr>
      <w:r>
        <w:rPr>
          <w:rFonts w:ascii="Verdana" w:hAnsi="Verdana"/>
        </w:rPr>
        <w:t>6.</w:t>
      </w:r>
      <w:r>
        <w:rPr>
          <w:rFonts w:ascii="Verdana" w:hAnsi="Verdana"/>
        </w:rPr>
        <w:tab/>
        <w:t>One Guard BGN 700/-</w:t>
      </w:r>
    </w:p>
    <w:p w14:paraId="08E8BCA9" w14:textId="77777777" w:rsidR="00C7610D" w:rsidRDefault="00C7610D" w:rsidP="00C7610D">
      <w:pPr>
        <w:shd w:val="clear" w:color="auto" w:fill="FFFFFF"/>
        <w:tabs>
          <w:tab w:val="left" w:pos="720"/>
          <w:tab w:val="left" w:pos="6480"/>
        </w:tabs>
        <w:spacing w:line="240" w:lineRule="auto"/>
        <w:jc w:val="both"/>
        <w:rPr>
          <w:rFonts w:ascii="Verdana" w:hAnsi="Verdana"/>
          <w:vertAlign w:val="superscript"/>
        </w:rPr>
      </w:pPr>
      <w:r>
        <w:rPr>
          <w:rFonts w:ascii="Verdana" w:hAnsi="Verdana"/>
        </w:rPr>
        <w:tab/>
      </w:r>
      <w:r>
        <w:rPr>
          <w:rFonts w:ascii="Verdana" w:hAnsi="Verdana"/>
          <w:vertAlign w:val="superscript"/>
        </w:rPr>
        <w:t>_________________________________</w:t>
      </w:r>
    </w:p>
    <w:p w14:paraId="639A5484" w14:textId="77777777" w:rsidR="00C7610D" w:rsidRDefault="00C7610D" w:rsidP="00C7610D">
      <w:pPr>
        <w:shd w:val="clear" w:color="auto" w:fill="FFFFFF"/>
        <w:tabs>
          <w:tab w:val="left" w:pos="720"/>
          <w:tab w:val="left" w:pos="5954"/>
        </w:tabs>
        <w:spacing w:line="240" w:lineRule="auto"/>
        <w:jc w:val="both"/>
        <w:rPr>
          <w:rFonts w:ascii="Verdana" w:hAnsi="Verdana"/>
          <w:lang w:val="en-US"/>
        </w:rPr>
      </w:pPr>
      <w:r>
        <w:rPr>
          <w:rFonts w:ascii="Verdana" w:hAnsi="Verdana"/>
        </w:rPr>
        <w:lastRenderedPageBreak/>
        <w:tab/>
        <w:t>BGN 10,300/-per month</w:t>
      </w:r>
      <w:r>
        <w:rPr>
          <w:rFonts w:ascii="Verdana" w:hAnsi="Verdana"/>
          <w:lang w:val="en-US"/>
        </w:rPr>
        <w:t xml:space="preserve"> or US$ 5819*</w:t>
      </w:r>
    </w:p>
    <w:p w14:paraId="32A943D7" w14:textId="77777777" w:rsidR="00C7610D" w:rsidRDefault="00C7610D" w:rsidP="00C7610D">
      <w:pPr>
        <w:shd w:val="clear" w:color="auto" w:fill="FFFFFF"/>
        <w:tabs>
          <w:tab w:val="left" w:pos="720"/>
          <w:tab w:val="left" w:pos="5954"/>
        </w:tabs>
        <w:spacing w:line="240" w:lineRule="auto"/>
        <w:jc w:val="both"/>
        <w:rPr>
          <w:rFonts w:ascii="Verdana" w:hAnsi="Verdana"/>
          <w:lang w:val="en-US"/>
        </w:rPr>
      </w:pPr>
      <w:r>
        <w:rPr>
          <w:rFonts w:ascii="Verdana" w:hAnsi="Verdana"/>
        </w:rPr>
        <w:tab/>
        <w:t>BGN</w:t>
      </w:r>
      <w:r>
        <w:rPr>
          <w:rFonts w:ascii="Verdana" w:hAnsi="Verdana"/>
          <w:lang w:val="en-US"/>
        </w:rPr>
        <w:t xml:space="preserve"> </w:t>
      </w:r>
      <w:r>
        <w:rPr>
          <w:rFonts w:ascii="Verdana" w:hAnsi="Verdana"/>
        </w:rPr>
        <w:t>123,600/-per annum</w:t>
      </w:r>
      <w:r>
        <w:rPr>
          <w:rFonts w:ascii="Verdana" w:hAnsi="Verdana"/>
          <w:lang w:val="en-US"/>
        </w:rPr>
        <w:t xml:space="preserve"> or </w:t>
      </w:r>
      <w:r>
        <w:rPr>
          <w:rFonts w:ascii="Verdana" w:hAnsi="Verdana"/>
        </w:rPr>
        <w:t>US$ 69,830/-per annum</w:t>
      </w:r>
      <w:r>
        <w:rPr>
          <w:rFonts w:ascii="Verdana" w:hAnsi="Verdana"/>
          <w:lang w:val="en-US"/>
        </w:rPr>
        <w:t>*</w:t>
      </w:r>
    </w:p>
    <w:p w14:paraId="229C5A8F" w14:textId="77777777" w:rsidR="00C7610D" w:rsidRDefault="00C7610D" w:rsidP="00C7610D">
      <w:pPr>
        <w:shd w:val="clear" w:color="auto" w:fill="FFFFFF"/>
        <w:tabs>
          <w:tab w:val="left" w:pos="720"/>
          <w:tab w:val="left" w:pos="5954"/>
        </w:tabs>
        <w:spacing w:line="240" w:lineRule="auto"/>
        <w:ind w:left="1620" w:hanging="1620"/>
        <w:contextualSpacing/>
        <w:jc w:val="both"/>
        <w:rPr>
          <w:rFonts w:ascii="Verdana" w:hAnsi="Verdana"/>
          <w:b/>
          <w:bCs/>
          <w:i/>
          <w:iCs/>
          <w:lang w:val="en-US"/>
        </w:rPr>
      </w:pPr>
      <w:r>
        <w:rPr>
          <w:rFonts w:ascii="Verdana" w:hAnsi="Verdana"/>
          <w:lang w:val="en-US"/>
        </w:rPr>
        <w:t xml:space="preserve">                                                                       </w:t>
      </w:r>
      <w:r>
        <w:rPr>
          <w:rFonts w:ascii="Verdana" w:hAnsi="Verdana"/>
          <w:b/>
          <w:bCs/>
          <w:i/>
          <w:iCs/>
          <w:lang w:val="en-US"/>
        </w:rPr>
        <w:t>*At prevailing forex rates</w:t>
      </w:r>
    </w:p>
    <w:p w14:paraId="634AF66A" w14:textId="77777777" w:rsidR="00C7610D" w:rsidRDefault="00C7610D" w:rsidP="00C7610D">
      <w:pPr>
        <w:jc w:val="both"/>
        <w:rPr>
          <w:rFonts w:ascii="Verdana" w:hAnsi="Verdana"/>
          <w:b/>
          <w:u w:val="single"/>
        </w:rPr>
      </w:pPr>
    </w:p>
    <w:p w14:paraId="4DDC31E0" w14:textId="77777777" w:rsidR="00C7610D" w:rsidRDefault="00C7610D" w:rsidP="00C7610D">
      <w:pPr>
        <w:jc w:val="both"/>
        <w:rPr>
          <w:rFonts w:ascii="Verdana" w:hAnsi="Verdana"/>
          <w:b/>
          <w:u w:val="single"/>
        </w:rPr>
      </w:pPr>
      <w:r>
        <w:rPr>
          <w:rFonts w:ascii="Verdana" w:hAnsi="Verdana"/>
          <w:b/>
          <w:u w:val="single"/>
        </w:rPr>
        <w:t>Initial Purchases</w:t>
      </w:r>
    </w:p>
    <w:p w14:paraId="13723166" w14:textId="77777777" w:rsidR="00C7610D" w:rsidRDefault="00C7610D" w:rsidP="00C7610D">
      <w:pPr>
        <w:pStyle w:val="ListParagraph"/>
        <w:numPr>
          <w:ilvl w:val="0"/>
          <w:numId w:val="2"/>
        </w:numPr>
        <w:jc w:val="both"/>
        <w:rPr>
          <w:rFonts w:ascii="Verdana" w:hAnsi="Verdana"/>
        </w:rPr>
      </w:pPr>
      <w:r>
        <w:rPr>
          <w:rFonts w:ascii="Verdana" w:hAnsi="Verdana"/>
        </w:rPr>
        <w:t>Ten Computers</w:t>
      </w:r>
      <w:r>
        <w:rPr>
          <w:rFonts w:ascii="Verdana" w:hAnsi="Verdana"/>
        </w:rPr>
        <w:tab/>
      </w:r>
      <w:r>
        <w:rPr>
          <w:rFonts w:ascii="Verdana" w:hAnsi="Verdana"/>
        </w:rPr>
        <w:tab/>
        <w:t>BGN1,200x10 = BGN 12,000/-</w:t>
      </w:r>
    </w:p>
    <w:p w14:paraId="1EDDD36C" w14:textId="77777777" w:rsidR="00C7610D" w:rsidRDefault="00C7610D" w:rsidP="00C7610D">
      <w:pPr>
        <w:pStyle w:val="ListParagraph"/>
        <w:numPr>
          <w:ilvl w:val="0"/>
          <w:numId w:val="2"/>
        </w:numPr>
        <w:jc w:val="both"/>
        <w:rPr>
          <w:rFonts w:ascii="Verdana" w:hAnsi="Verdana"/>
        </w:rPr>
      </w:pPr>
      <w:r>
        <w:rPr>
          <w:rFonts w:ascii="Verdana" w:hAnsi="Verdana"/>
        </w:rPr>
        <w:t>Ten Printers</w:t>
      </w:r>
      <w:r>
        <w:rPr>
          <w:rFonts w:ascii="Verdana" w:hAnsi="Verdana"/>
        </w:rPr>
        <w:tab/>
      </w:r>
      <w:r>
        <w:rPr>
          <w:rFonts w:ascii="Verdana" w:hAnsi="Verdana"/>
        </w:rPr>
        <w:tab/>
        <w:t>BGN 200x10 = BGN 2,000/-</w:t>
      </w:r>
    </w:p>
    <w:p w14:paraId="3F04A702" w14:textId="77777777" w:rsidR="00C7610D" w:rsidRDefault="00C7610D" w:rsidP="00C7610D">
      <w:pPr>
        <w:pStyle w:val="ListParagraph"/>
        <w:numPr>
          <w:ilvl w:val="0"/>
          <w:numId w:val="2"/>
        </w:numPr>
        <w:jc w:val="both"/>
        <w:rPr>
          <w:rFonts w:ascii="Verdana" w:hAnsi="Verdana"/>
        </w:rPr>
      </w:pPr>
      <w:r>
        <w:rPr>
          <w:rFonts w:ascii="Verdana" w:hAnsi="Verdana"/>
        </w:rPr>
        <w:t>Five Telephones</w:t>
      </w:r>
      <w:r>
        <w:rPr>
          <w:rFonts w:ascii="Verdana" w:hAnsi="Verdana"/>
        </w:rPr>
        <w:tab/>
      </w:r>
      <w:r>
        <w:rPr>
          <w:rFonts w:ascii="Verdana" w:hAnsi="Verdana"/>
        </w:rPr>
        <w:tab/>
        <w:t>BGN 50x10 = BGN 500/-</w:t>
      </w:r>
    </w:p>
    <w:p w14:paraId="3087CA39" w14:textId="77777777" w:rsidR="00C7610D" w:rsidRDefault="00C7610D" w:rsidP="00C7610D">
      <w:pPr>
        <w:pStyle w:val="ListParagraph"/>
        <w:numPr>
          <w:ilvl w:val="0"/>
          <w:numId w:val="2"/>
        </w:numPr>
        <w:jc w:val="both"/>
        <w:rPr>
          <w:rFonts w:ascii="Verdana" w:hAnsi="Verdana"/>
        </w:rPr>
      </w:pPr>
      <w:r>
        <w:rPr>
          <w:rFonts w:ascii="Verdana" w:hAnsi="Verdana"/>
        </w:rPr>
        <w:t>Ensemble Furniture</w:t>
      </w:r>
      <w:r>
        <w:rPr>
          <w:rFonts w:ascii="Verdana" w:hAnsi="Verdana"/>
        </w:rPr>
        <w:tab/>
        <w:t>BGN 10,000/-</w:t>
      </w:r>
    </w:p>
    <w:p w14:paraId="6465C605" w14:textId="77777777" w:rsidR="00C7610D" w:rsidRDefault="00C7610D" w:rsidP="00C7610D">
      <w:pPr>
        <w:pStyle w:val="ListParagraph"/>
        <w:jc w:val="both"/>
        <w:rPr>
          <w:rFonts w:ascii="Verdana" w:hAnsi="Verdana"/>
        </w:rPr>
      </w:pPr>
    </w:p>
    <w:p w14:paraId="2F6A9B70" w14:textId="77777777" w:rsidR="00C7610D" w:rsidRDefault="00C7610D" w:rsidP="00C7610D">
      <w:pPr>
        <w:pStyle w:val="NoSpacing"/>
        <w:jc w:val="both"/>
        <w:rPr>
          <w:rFonts w:ascii="Verdana" w:hAnsi="Verdana" w:cs="Times New Roman"/>
        </w:rPr>
      </w:pPr>
      <w:r>
        <w:rPr>
          <w:rFonts w:ascii="Verdana" w:hAnsi="Verdana" w:cs="Times New Roman"/>
        </w:rPr>
        <w:t>14.</w:t>
      </w:r>
      <w:r>
        <w:rPr>
          <w:rFonts w:ascii="Verdana" w:hAnsi="Verdana" w:cs="Times New Roman"/>
        </w:rPr>
        <w:tab/>
        <w:t xml:space="preserve">Oversight and management of the incubator could be a joint endeavour and collaboration of the Pakistan Embassy in Sofia, Ministry of Commerce, Trade Development Authority of Pakistan (TDAP), Federation of Pakistan Chambers of Commerce &amp; Industry (FPCCI) and any other major stakeholders. Everyday functions of the incubator would be conducted with an additional compliment of Pak-based staff and an appropriate number of local employees. </w:t>
      </w:r>
    </w:p>
    <w:p w14:paraId="27D9E790" w14:textId="77777777" w:rsidR="00C7610D" w:rsidRDefault="00C7610D" w:rsidP="00C7610D">
      <w:pPr>
        <w:pStyle w:val="NoSpacing"/>
        <w:jc w:val="both"/>
        <w:rPr>
          <w:rFonts w:ascii="Verdana" w:hAnsi="Verdana" w:cs="Times New Roman"/>
        </w:rPr>
      </w:pPr>
    </w:p>
    <w:p w14:paraId="6D954AEA" w14:textId="77777777" w:rsidR="00C7610D" w:rsidRDefault="00C7610D" w:rsidP="00C7610D">
      <w:pPr>
        <w:pStyle w:val="NoSpacing"/>
        <w:jc w:val="both"/>
        <w:rPr>
          <w:rFonts w:ascii="Verdana" w:hAnsi="Verdana" w:cs="Times New Roman"/>
        </w:rPr>
      </w:pPr>
      <w:r>
        <w:rPr>
          <w:rFonts w:ascii="Verdana" w:hAnsi="Verdana" w:cs="Times New Roman"/>
        </w:rPr>
        <w:t>15.</w:t>
      </w:r>
      <w:r>
        <w:rPr>
          <w:rFonts w:ascii="Verdana" w:hAnsi="Verdana" w:cs="Times New Roman"/>
        </w:rPr>
        <w:tab/>
        <w:t xml:space="preserve">This project ought to receive meticulous and serious consideration in order to identify pros and cons because it would be of great utility in magnifying Pakistan’s exports in this part of the world. </w:t>
      </w:r>
    </w:p>
    <w:p w14:paraId="1367D76A" w14:textId="77777777" w:rsidR="00C7610D" w:rsidRDefault="00C7610D" w:rsidP="00C7610D">
      <w:pPr>
        <w:pStyle w:val="NoSpacing"/>
        <w:jc w:val="both"/>
        <w:rPr>
          <w:rFonts w:ascii="Verdana" w:hAnsi="Verdana" w:cs="Times New Roman"/>
          <w:b/>
          <w:bCs/>
        </w:rPr>
      </w:pPr>
    </w:p>
    <w:p w14:paraId="11BFC046" w14:textId="77777777" w:rsidR="00C7610D" w:rsidRDefault="00C7610D" w:rsidP="00C7610D">
      <w:pPr>
        <w:pStyle w:val="NoSpacing"/>
        <w:jc w:val="both"/>
        <w:rPr>
          <w:rFonts w:ascii="Verdana" w:hAnsi="Verdana"/>
        </w:rPr>
      </w:pPr>
      <w:r>
        <w:rPr>
          <w:rFonts w:ascii="Verdana" w:hAnsi="Verdana" w:cs="Times New Roman"/>
          <w:bCs/>
        </w:rPr>
        <w:t>16.</w:t>
      </w:r>
      <w:r>
        <w:rPr>
          <w:rFonts w:ascii="Verdana" w:hAnsi="Verdana" w:cs="Times New Roman"/>
          <w:bCs/>
        </w:rPr>
        <w:tab/>
        <w:t xml:space="preserve">Likewise, we have included the link </w:t>
      </w:r>
      <w:hyperlink r:id="rId5" w:tgtFrame="_blank" w:history="1">
        <w:r>
          <w:rPr>
            <w:rStyle w:val="Hyperlink"/>
            <w:rFonts w:ascii="Verdana" w:hAnsi="Verdana" w:cs="Helvetica"/>
          </w:rPr>
          <w:t>http://nciz.bg/en/industrial-zones/zones-under-development/bozhurishte/bozhurishte-economic-zone</w:t>
        </w:r>
      </w:hyperlink>
      <w:r>
        <w:rPr>
          <w:rFonts w:ascii="Verdana" w:hAnsi="Verdana"/>
          <w:lang w:val="en-US"/>
        </w:rPr>
        <w:t xml:space="preserve"> </w:t>
      </w:r>
      <w:r>
        <w:rPr>
          <w:rFonts w:ascii="Verdana" w:hAnsi="Verdana"/>
        </w:rPr>
        <w:t xml:space="preserve">that may be accessed for ancillary data from this perspective. An added option is InvestBulgaria Agency at </w:t>
      </w:r>
      <w:hyperlink r:id="rId6" w:history="1">
        <w:r>
          <w:rPr>
            <w:rStyle w:val="Hyperlink"/>
            <w:rFonts w:ascii="Verdana" w:hAnsi="Verdana"/>
          </w:rPr>
          <w:t>http://investbg.government.bg/en</w:t>
        </w:r>
      </w:hyperlink>
      <w:r>
        <w:rPr>
          <w:rFonts w:ascii="Verdana" w:hAnsi="Verdana"/>
        </w:rPr>
        <w:t xml:space="preserve">. </w:t>
      </w:r>
    </w:p>
    <w:p w14:paraId="043FEAD7" w14:textId="77777777" w:rsidR="00C7610D" w:rsidRDefault="00C7610D" w:rsidP="00C7610D">
      <w:pPr>
        <w:pStyle w:val="NoSpacing"/>
        <w:jc w:val="both"/>
        <w:rPr>
          <w:rFonts w:ascii="Verdana" w:hAnsi="Verdana"/>
        </w:rPr>
      </w:pPr>
    </w:p>
    <w:p w14:paraId="2320F06E" w14:textId="77777777" w:rsidR="00C7610D" w:rsidRDefault="00C7610D" w:rsidP="00C7610D">
      <w:pPr>
        <w:pStyle w:val="NoSpacing"/>
        <w:jc w:val="both"/>
        <w:rPr>
          <w:rFonts w:ascii="Verdana" w:hAnsi="Verdana" w:cs="Times New Roman"/>
        </w:rPr>
      </w:pPr>
      <w:r>
        <w:rPr>
          <w:rFonts w:ascii="Verdana" w:hAnsi="Verdana"/>
        </w:rPr>
        <w:t>17.</w:t>
      </w:r>
      <w:r>
        <w:rPr>
          <w:rFonts w:ascii="Verdana" w:hAnsi="Verdana"/>
        </w:rPr>
        <w:tab/>
      </w:r>
      <w:r>
        <w:rPr>
          <w:rFonts w:ascii="Verdana" w:hAnsi="Verdana" w:cs="Times New Roman"/>
        </w:rPr>
        <w:t>A prospective tour by analysts/experts from Pakistan would be deemed appropriate at the outset in exploring this possibility and conducting a feasibility study.</w:t>
      </w:r>
    </w:p>
    <w:p w14:paraId="3445FA6E" w14:textId="77777777" w:rsidR="00EA11EF" w:rsidRDefault="00EA11EF">
      <w:bookmarkStart w:id="0" w:name="_GoBack"/>
      <w:bookmarkEnd w:id="0"/>
    </w:p>
    <w:sectPr w:rsidR="00EA11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93F5D"/>
    <w:multiLevelType w:val="hybridMultilevel"/>
    <w:tmpl w:val="D9C05E8E"/>
    <w:lvl w:ilvl="0" w:tplc="33F812FE">
      <w:start w:val="1"/>
      <w:numFmt w:val="low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782503F4"/>
    <w:multiLevelType w:val="hybridMultilevel"/>
    <w:tmpl w:val="5632550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CF"/>
    <w:rsid w:val="000A4049"/>
    <w:rsid w:val="0070198D"/>
    <w:rsid w:val="008F0E7D"/>
    <w:rsid w:val="00A408CF"/>
    <w:rsid w:val="00A43051"/>
    <w:rsid w:val="00C34561"/>
    <w:rsid w:val="00C54A90"/>
    <w:rsid w:val="00C7610D"/>
    <w:rsid w:val="00DB3709"/>
    <w:rsid w:val="00DE36C3"/>
    <w:rsid w:val="00EA11E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50B5"/>
  <w15:chartTrackingRefBased/>
  <w15:docId w15:val="{8C44E859-3B16-49EF-AC22-D422F744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10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610D"/>
    <w:rPr>
      <w:color w:val="0563C1" w:themeColor="hyperlink"/>
      <w:u w:val="single"/>
    </w:rPr>
  </w:style>
  <w:style w:type="paragraph" w:styleId="NoSpacing">
    <w:name w:val="No Spacing"/>
    <w:uiPriority w:val="1"/>
    <w:qFormat/>
    <w:rsid w:val="00C7610D"/>
    <w:pPr>
      <w:spacing w:after="0" w:line="240" w:lineRule="auto"/>
    </w:pPr>
  </w:style>
  <w:style w:type="paragraph" w:styleId="ListParagraph">
    <w:name w:val="List Paragraph"/>
    <w:basedOn w:val="Normal"/>
    <w:uiPriority w:val="34"/>
    <w:qFormat/>
    <w:rsid w:val="00C7610D"/>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yiv1859543581">
    <w:name w:val="yiv1859543581"/>
    <w:basedOn w:val="Normal"/>
    <w:rsid w:val="00C7610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C7610D"/>
    <w:pPr>
      <w:widowControl w:val="0"/>
      <w:spacing w:after="0" w:line="240" w:lineRule="auto"/>
    </w:pPr>
    <w:rPr>
      <w:rFonts w:ascii="Courier New" w:eastAsia="Courier New" w:hAnsi="Courier New" w:cs="Courier New"/>
      <w:sz w:val="24"/>
      <w:szCs w:val="24"/>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8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vestbg.government.bg/en" TargetMode="External"/><Relationship Id="rId5" Type="http://schemas.openxmlformats.org/officeDocument/2006/relationships/hyperlink" Target="http://nciz.bg/en/industrial-zones/zones-under-development/bozhurishte/bozhurishte-economic-zo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7460</Characters>
  <Application>Microsoft Office Word</Application>
  <DocSecurity>0</DocSecurity>
  <Lines>62</Lines>
  <Paragraphs>17</Paragraphs>
  <ScaleCrop>false</ScaleCrop>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2019-12-02T15:00:00Z</dcterms:created>
  <dcterms:modified xsi:type="dcterms:W3CDTF">2019-12-02T15:00:00Z</dcterms:modified>
</cp:coreProperties>
</file>